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5817" w14:textId="77777777" w:rsidR="00A92D8A" w:rsidRDefault="00A92D8A" w:rsidP="00A92D8A">
      <w:pPr>
        <w:pStyle w:val="mcntwordsection1"/>
        <w:spacing w:before="0" w:beforeAutospacing="0" w:after="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P</w:t>
      </w:r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rzegląd tygodniowy Ambasady RP w Dar es Salaam (24-30 listopada 2021 r.)</w:t>
      </w:r>
    </w:p>
    <w:p w14:paraId="275F57FA" w14:textId="77777777" w:rsidR="00A92D8A" w:rsidRDefault="00A92D8A" w:rsidP="00A92D8A">
      <w:pPr>
        <w:pStyle w:val="mcntwordsection1"/>
        <w:spacing w:before="0" w:beforeAutospacing="0" w:after="0" w:afterAutospacing="0"/>
        <w:jc w:val="both"/>
        <w:rPr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0FBEE1C6" w14:textId="77777777" w:rsidR="00A92D8A" w:rsidRDefault="00A92D8A" w:rsidP="00A92D8A">
      <w:pPr>
        <w:pStyle w:val="mcntwordsection1"/>
        <w:spacing w:before="24" w:beforeAutospacing="0" w:after="0" w:afterAutospacing="0"/>
        <w:ind w:left="1401" w:hanging="1116"/>
        <w:jc w:val="both"/>
        <w:rPr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28E81524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Tanzania. W przyszłym roku (sierpień) Dar es Salaam będzie gościć przedstawicieli sektora energetycznego w trakcie czwartej edycji Tanzańskiego Kongresu Energetycznego (Tanzania Energy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Congress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), gdzie potoczy się dyskusja o planach i priorytetach Ministerstwa Energii w odniesieniu do kolejnych strategicznych kroków Tanzanii w obszarze energetyki.</w:t>
      </w:r>
      <w:r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 xml:space="preserve">Patronem spotkania będzie minister energetyki January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Makamba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a zorganizuje je DMG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Events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wraz ze strategicznymi tanzańskimi partnerami Ocean Business Partners Tanzania. Wydarzenie ma posłużyć jako forum wymiany pomysłów i nawiązywania kontaktów dla krajowych i międzynarodowych liderów biznesu, inwestorów i nowych kontrahentów, a także przyczynić się do zidentyfikowania i rozwinięcia nowych możliwości, które pojawią się w sektorze energetycznym Tanzanii.</w:t>
      </w:r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Minister energetyki January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Makamba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w swoich wypowiedziach medialnych zachęca wszystkie firmy zaangażowane w sektor energetyczny Tanzanii lub poszukujące w nim możliwości do wzięcia udziału w tym wydarzeniu branżowym.</w:t>
      </w:r>
    </w:p>
    <w:p w14:paraId="6A7FBFFF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41F58323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Tanzania</w:t>
      </w:r>
      <w:r>
        <w:rPr>
          <w:rFonts w:ascii="Calibri" w:hAnsi="Calibri" w:cs="Calibri"/>
          <w:color w:val="222222"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Władze regionalne w Dar es Salaam podpisały na niższych poziomach administracyjnych umowy na rzecz zapewnienia czystości i porządku w tym mieście</w:t>
      </w:r>
      <w:r>
        <w:rPr>
          <w:rFonts w:ascii="Calibri" w:hAnsi="Calibri" w:cs="Calibri"/>
          <w:color w:val="222222"/>
          <w:sz w:val="22"/>
          <w:szCs w:val="22"/>
        </w:rPr>
        <w:t xml:space="preserve">. Zgodnie z planem władz regionalnych w Dar es Salaam kontroli powinny zostać poddani wszelcy drobni sprzedawcy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i  drobne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przedsiębiorstwa, by upewnić się, że prowadzą one działalność wyłącznie w autoryzowanych punktach miasta. W ramach programu znajdujące się w złym stanie budynki będące własnością instytucji rządowych muszą zostać pilnie naprawione. Lokalni urzędnicy będą zachęcani do prowadzenia kampanii na rzecz zachowania czystości terenów rekreacyjnych, w tym plaż. Każdy samorząd musi przedstawić agendę działań na rzecz uwrażliwiania społeczności lokalnych na konieczność dbania o czystość na swoim terenie, władze lokalne zobowiązane są też do wyznaczenia wykwalifikowanych wykonawców z odpowiednim zapleczem i zasobami ludzkimi do sprzątania terenów, na których urzędują. Drobni sprzedawcy będą musieli sprzątać teren wokół swoich stoisk przed ich otwarciem, odbywać się będą kontrole.</w:t>
      </w:r>
    </w:p>
    <w:p w14:paraId="02B4A5F8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Komentarz: Dar es Salaam jest miastem mocno zanieczyszczonym wszelkiego rodzaju odpadami, a uliczna drobna sprzedaż, prowadzona najczęściej wzdłuż ulic, stanowi ogromne wyzwanie dla utrzymania porządku i czystości w tym liczącym ponad 5 mln ludzi mieście. Dar es Salaam uznawane jest przez tanzańskie władze za miasto reprezentacyjne dla całego kraju – i rzeczywiście jest ono najważniejszym punktem wjazdowym dla obcokrajowców, w tym turystów, a jednocześnie ważnym ośrodkiem gospodarczym i </w:t>
      </w:r>
      <w:proofErr w:type="spellStart"/>
      <w:r>
        <w:rPr>
          <w:rFonts w:ascii="Calibri" w:hAnsi="Calibri" w:cs="Calibri"/>
          <w:i/>
          <w:iCs/>
          <w:color w:val="222222"/>
          <w:sz w:val="22"/>
          <w:szCs w:val="22"/>
        </w:rPr>
        <w:t>hubem</w:t>
      </w:r>
      <w:proofErr w:type="spellEnd"/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biznesowym tego kraju.</w:t>
      </w:r>
      <w:r>
        <w:rPr>
          <w:rStyle w:val="apple-converted-space"/>
          <w:rFonts w:ascii="Calibri" w:hAnsi="Calibri" w:cs="Calibri"/>
          <w:i/>
          <w:iCs/>
          <w:color w:val="1F497D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Władze Tanzanii są zainteresowane pozyskiwaniem od partnerów zagranicznych technologii w dziedzinie przetwarzania/utylizacji odpadów.</w:t>
      </w:r>
    </w:p>
    <w:p w14:paraId="674FBCCF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Tanzania i Szwajcaria zacieśniają relacje gospodarcze i inwestycyjne. Ogłoszony program współpracy pomiędzy tymi krajami (Swiss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Cooperation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Programme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Tanzania) na lata 2021-2024 ma być nakierowany w szczególności na wzmacnianie instytucji państwowych, ochronę i promowanie przestrzeni obywatelskiej oraz ochronę zdrowia wśród ludzi młodych. Wsparcie ze strony Szwajcarii skierowane jest w szczególności na wzmacnianie pozycji młodzieży, zwłaszcza młodych kobiet i dziewcząt, aby stały się częścią procesu rozwoju. Ogólnym celem programu jest podniesienie poziomu społecznego i gospodarczego młodych ludzi oraz stworzenie w Tanzanii społeczeństwa o średnich dochodach.</w:t>
      </w:r>
    </w:p>
    <w:p w14:paraId="790B475C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Komentarz: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Relacje Szwajcarii i Tanzanii sięgają niemal stu lat, jako że szwajcarscy misjonarze, rolnicy, naukowcy i kupcy działali w regionie Tanganiki od lat 20. XX wieku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Wizyta przedstawicieli Swiss </w:t>
      </w:r>
      <w:proofErr w:type="spellStart"/>
      <w:r>
        <w:rPr>
          <w:rFonts w:ascii="Calibri" w:hAnsi="Calibri" w:cs="Calibri"/>
          <w:i/>
          <w:iCs/>
          <w:color w:val="222222"/>
          <w:sz w:val="22"/>
          <w:szCs w:val="22"/>
        </w:rPr>
        <w:t>Agency</w:t>
      </w:r>
      <w:proofErr w:type="spellEnd"/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for Development w Tanzanii przypada w roku, w którym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współpraca tych dwóch krajów obchodzi swoje 40-lecie. Główne obszary tematyczne, w które Szwajcaria angażuje się w Tanzanii to 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lastRenderedPageBreak/>
        <w:t>zdrowie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(poprawa dostępności i jakości usług podstawowej opieki zdrowotnej poprzez ulepszone społeczne fundusze zdrowotne, bezpośrednie finansowanie placówek zdrowia i pomoc techniczną w zwalczaniu np. malarii),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zatrudnienie i płace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(szwajcarskie wsparcie dla rzecznictwa opartego na dowodach i monitorowania odpowiedzialności społecznej przyczyniło się do zwolnień z podatku od upraw orzechów nerkowca, ryżu, bawełny i ziemniaków, a tym samym do poprawy warunków życia drobnych rolników)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i dobre zarządzanie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(wsparcie np. dla Biura ds. Zapobiegania i Zwalczania Korupcji (PCCB), Biura Audytora Generalnego (CAG) i innych organów państwowych)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. Szwajcaria współpracuje również z organizacjami pozarządowymi i niezależnymi mediami w Tanzanii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, zachęcając je do przejrzystości i monitorowania działań rządu.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Minister SZ Tanzanii Liberata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Mulamula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wskazuje na to, że istnieje duży potencjał w zwiększeniu wymiany handlowej pomiędzy oboma krajami, a także zachęca szwajcarskich inwestorów do zainteresowania się Tanzanią. Szwajcaria oferuje Tanzanii wsparcie w budowaniu zdolności i potencjału wśród młodych przedsiębiorców.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Dyrektor Generalna szwajcarskiej agencji rozwojowej (Swiss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Agency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for Development), ambasador Patricia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Danzi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, podczas swojej wizyty w Tanzanii oceniła, że kraj ten dobrze radzi sobie w polepszaniu warunków dla biznesu, jednak dla zwiększenia wymiany handlowej niezbędne będzie zwiększenie przez Tanzanię przewidywalności prawa, polityk, regulacji i reżimu podatkowego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</w:p>
    <w:p w14:paraId="40BD966C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 </w:t>
      </w:r>
    </w:p>
    <w:p w14:paraId="44408CC5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Tanzania i Uganda zorganizowały w Dar es Salaam adresowane do przedsiębiorców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Oil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Gas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Symposium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2021,</w:t>
      </w:r>
      <w:r>
        <w:rPr>
          <w:rFonts w:ascii="Calibri" w:hAnsi="Calibri" w:cs="Calibri"/>
          <w:color w:val="222222"/>
          <w:sz w:val="22"/>
          <w:szCs w:val="22"/>
        </w:rPr>
        <w:t>które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tematycznie skoncentrowało się na rozwoju sektora ropy i gazu oraz na mechanizmach promujących rozwój biznesu pomiędzy wspomnianymi wcześniej krajami. Wydarzenie ma podnieść świadomość sektora prywatnego nt. polityk i ram regulacyjnych w sektorze ropy i gazu w Ugandzie i Tanzanii oraz stworzyć pole do współpracy pomiędzy firmami z sektorów prywatnych obu krajów. W jego trakcie dyskutowano m.in. na temat budowy East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African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Crude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Oil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Pipeline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, projektu wartego ok. 3,5 mld USD, który łącznie powinien pozwolić na utworzenie ok. 25 000 miejsc pracy. Podczas sympozjum prezydent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Yoweri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Museveni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ocenił, że dzięki historycznym podobieństwom i powiązaniom, kraje Afryki Wschodniej mogą osiągnąć jedność w postaci politycznej federacji i integracji ekonomicznej. Taki blok byłby jego zdaniem w stanie zabiegać o stały dostęp do rynków na szczeblu międzynarodowym – w dialogu ze Stanami Zjednoczonymi, Chinami, Rosją, Indiami, Japonią, Indonezją itd. W jego ocenie warto, by kraje afrykańskie starały się o utworzenie wspólnego rynku, który do 2050 r. może być rynkiem zbytu dla 2,5 miliarda osób.</w:t>
      </w:r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Prezydent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Yoweri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Museveni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i prezydent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Samia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Suluhu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Hassan zgodzili się co do konieczności zniesienia barier pozataryfowych pomiędzy tymi dwoma krajami Afryki Wschodniej. Poinstruowali oni ministrów odpowiedzialnych za kwestie handlowe, że w ciągu najbliższych dwóch miesięcy mają się oni spotkać w celu wyszukania rozwiązania tej kwestii. Prezydenci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Museveni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i Hassan omówili tez kwestie handlowe i inwestycyjne pomiędzy dwoma krajami, biorąc pod uwagę, że spośród krajów Afryki Wschodniej Uganda jest drugim największym inwestorem w Tanzanii (łącznie 45 projektów wartych 114 mln USD).</w:t>
      </w:r>
    </w:p>
    <w:p w14:paraId="7B652BBE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734C117B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Tanzania. Międzynarodowa firma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TotalEnergies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podjęła rozmowy z rządem Tanzanii nt. możliwości inwestowania w energię słoneczną i wiatrową. Zwłaszcza w świetle ostatnich problemów z energią otrzymywaną w elektrowniach wodnych (susze) władze Tanzanii zaczynają poszukiwać alternatywnych źródeł energii.</w:t>
      </w:r>
      <w:r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 xml:space="preserve">Firma zapowiada przeprowadzenie studium wykonalności projektu, a zdaniem jej kierownictwa posiada ona wystarczające doświadczenie w produkcji energii elektrycznej ze źródeł odnawialnych, gdyż większość krajów europejskich wykorzystuje elektryczność produkowaną m.in. w elektrowniach wiatrowych właśnie przez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TotalEnergies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48478675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Komentarz: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Podobnie jak w innych krajach regionu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TotalEnergies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inwestowała już w Tanzanii – przeznaczyła 20 mln USD na założenie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Lubricant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Oil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Blending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Plant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Podczas bieżących rozmów z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TotalEnergies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władze Tanzanii podkreślają, że doceniają tamto przedsięwzięcie, które pomogło stworzyć miejsca pracy, a także umożliwiło transfer umiejętności i technologii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. Jednocześnie zwracają uwagę na rosnące zapotrzebowanie krajów sąsiadujących z </w:t>
      </w:r>
      <w:proofErr w:type="gramStart"/>
      <w:r>
        <w:rPr>
          <w:rFonts w:ascii="Calibri" w:hAnsi="Calibri" w:cs="Calibri"/>
          <w:i/>
          <w:iCs/>
          <w:color w:val="222222"/>
          <w:sz w:val="22"/>
          <w:szCs w:val="22"/>
        </w:rPr>
        <w:t>Tanzanią  na</w:t>
      </w:r>
      <w:proofErr w:type="gramEnd"/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22222"/>
          <w:sz w:val="22"/>
          <w:szCs w:val="22"/>
        </w:rPr>
        <w:t>lubrykanty</w:t>
      </w:r>
      <w:proofErr w:type="spellEnd"/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, płyny chłodnicze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>i oleje do ciężkich maszyn i innych pojazdów.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Dyskusje nad nowym projektem z udziałem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TotalEnergies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wpisują się w strategię industrializacyjną władz Tanzanii i potrzebę zapewnienia wystarczającej ilości energii na użytek domowy i przemysłowy w tym kraju.</w:t>
      </w:r>
    </w:p>
    <w:p w14:paraId="7AFE0A32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 </w:t>
      </w:r>
    </w:p>
    <w:p w14:paraId="7EDA1C3E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Rwanda za pośrednictwem Banku Rozwoju Rwandy (Development Bank of Rwanda, BRD) i Agencji Rozwoju Lokalnych Podmiotów Administracyjnych (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Local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Administrative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Entities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Development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Agency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, LODA) otrzymała dotację w wysokości 44 mln EUR przeznaczoną na wsparcie programów ochrony socjalnej i zwiększenie eksportu wśród małych i średnich przedsiębiorstw</w:t>
      </w:r>
      <w:r>
        <w:rPr>
          <w:rFonts w:ascii="Calibri" w:hAnsi="Calibri" w:cs="Calibri"/>
          <w:color w:val="222222"/>
          <w:sz w:val="22"/>
          <w:szCs w:val="22"/>
        </w:rPr>
        <w:t xml:space="preserve">. Umowa finansowania została podpisana przez ministra finansów i planowania gospodarczego Rwandy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Uzziela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Ndagijimana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oraz dyrektor regionalną niemieckiego państwowego banku rozwoju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Kreditanstalt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für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Wiederaufbau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KfW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Bettinę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Tewinkel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. Zgodnie z umową, 36 mln EUR zostanie przeznaczone na programy ochrony socjalnej za pośrednictwem LODA w ramach programu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Vision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Umurenge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(VUP), a nieco ponad 8 mln EUR zostanie przeznaczone na rozbudowę długoterminowej linii refinansowania kredytów eksportowych.</w:t>
      </w:r>
    </w:p>
    <w:p w14:paraId="107A6EF0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Komentarz: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Niemcy współpracują z rwandyjskimi partnerami na rzecz ożywienia społeczno-gospodarczego w Rwandzie, czego wyrazem ma być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takżę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kooperacja za pośrednictwem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KfW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. Projekt ma na celu ochronę i wspieranie gospodarstw domowych oraz małych i średnich przedsiębiorstw w celu przezwyciężenia negatywnego wpływu pandemii Covid-19 i powinien przyczynić się do ożywienia gospodarczego sprzyjającego włączeniu społecznemu.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Przy okazji podpisywania umowy ambasador Niemiec w Rwandzie Thomas Kurz pochwalił rząd Rwandy za skuteczną reakcję na skutki pandemii Covid-19 zobowiązując się do dalszego wsparcia dla tego kraju ze strony Niemiec.</w:t>
      </w:r>
    </w:p>
    <w:p w14:paraId="43FE9CC4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19D0F228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Rwanda/DRK. Na posiedzeniu Komitetu Sterującego wysokiego szczebla, w skład którego wchodzą przedstawiciele władz Rwandy i Demokratycznej Republiki Konga (DRK) zatwierdzono budowę posterunku granicznego (One Stop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Border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Post) na granicy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Rusizi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II. Budowa w ramach finansowanego przez Unię Europejską (UE) </w:t>
      </w:r>
      <w:proofErr w:type="spellStart"/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działania</w:t>
      </w:r>
      <w:r>
        <w:rPr>
          <w:rFonts w:ascii="Calibri" w:hAnsi="Calibri" w:cs="Calibri"/>
          <w:color w:val="222222"/>
          <w:sz w:val="22"/>
          <w:szCs w:val="22"/>
        </w:rPr>
        <w:t>„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Bezpieczna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transgraniczna działalność społeczna, gospodarcza i handlowa w regionie Wielkich Jezior”</w:t>
      </w:r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ma na celu wzmocnienie integracji gospodarczej i spójności społecznej społeczności transgranicznych</w:t>
      </w:r>
      <w:r>
        <w:rPr>
          <w:rFonts w:ascii="Calibri" w:hAnsi="Calibri" w:cs="Calibri"/>
          <w:color w:val="222222"/>
          <w:sz w:val="22"/>
          <w:szCs w:val="22"/>
        </w:rPr>
        <w:t xml:space="preserve">. Oczekuje się,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że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projekt</w:t>
      </w:r>
      <w:proofErr w:type="spellEnd"/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przyniesie korzyść ok. 3 milionom osób mieszkającym w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Bukavu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w DRK i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Rusizi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w Rwandzie.</w:t>
      </w:r>
    </w:p>
    <w:p w14:paraId="7FE6B208" w14:textId="77777777" w:rsidR="00A92D8A" w:rsidRDefault="00A92D8A" w:rsidP="00A92D8A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Komentarz: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Projekt finansowany przez Unię Europejską we współpracy z Międzynarodową Organizacją ds. Migracji (IOM) i Trade Mark East 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Africa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 (TMEA), i ma opierać się na zintegrowanym zarządzaniu granicami. Budowa ma rozpocząć się na początku 2022 r. i potrwać 18 miesięcy.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Obejmie ona m.in. magazyny, a dzięki zintegrowanemu zarządzaniu granicami handlarze przekraczający granicę nie będą sprawdzani podwójnie.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Delegatura UE w Rwandzie podkreśla, że </w:t>
      </w:r>
      <w:proofErr w:type="gram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promowanie  handlu</w:t>
      </w:r>
      <w:proofErr w:type="gram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, mobilności osób i integracji gospodarczej między Rwandą a DRK będzie miało pozytywny wpływ na gospodarkę w regionie i przypomina, że UE wspiera integrację regionalną.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W ocenie delegatury projekt ten może przyczynić się także do wzmocnienia afrykańskiej kontynentalnej strefy wolnego handlu (</w:t>
      </w:r>
      <w:proofErr w:type="spellStart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AfCFTA</w:t>
      </w:r>
      <w:proofErr w:type="spellEnd"/>
      <w:r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).</w:t>
      </w:r>
      <w:r>
        <w:rPr>
          <w:rStyle w:val="apple-converted-space"/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Rozwijające się ośrodki miejskie w regionie stanowią ogromną szansę dla handlarzy i firm z Rwandy, DRK i Burundi.</w:t>
      </w:r>
    </w:p>
    <w:p w14:paraId="44A5A22E" w14:textId="77777777" w:rsidR="005A1E18" w:rsidRDefault="00A92D8A"/>
    <w:sectPr w:rsidR="005A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8A"/>
    <w:rsid w:val="00101009"/>
    <w:rsid w:val="006E4DEB"/>
    <w:rsid w:val="00A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7A41C"/>
  <w15:chartTrackingRefBased/>
  <w15:docId w15:val="{A66D1579-0C91-C242-BCC2-469075C3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wordsection1">
    <w:name w:val="mcntwordsection1"/>
    <w:basedOn w:val="Normalny"/>
    <w:rsid w:val="00A92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9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1646</Words>
  <Characters>9877</Characters>
  <Application>Microsoft Office Word</Application>
  <DocSecurity>0</DocSecurity>
  <Lines>82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Derbin</dc:creator>
  <cp:keywords/>
  <dc:description/>
  <cp:lastModifiedBy>Anna Derbin</cp:lastModifiedBy>
  <cp:revision>1</cp:revision>
  <dcterms:created xsi:type="dcterms:W3CDTF">2021-12-01T20:22:00Z</dcterms:created>
  <dcterms:modified xsi:type="dcterms:W3CDTF">2021-12-01T20:23:00Z</dcterms:modified>
</cp:coreProperties>
</file>