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A04252" w14:textId="77777777" w:rsidR="00B41D4A" w:rsidRPr="00A54440" w:rsidRDefault="00B41D4A" w:rsidP="004B6385">
      <w:pPr>
        <w:shd w:val="clear" w:color="auto" w:fill="FFFFFF"/>
        <w:spacing w:line="360" w:lineRule="auto"/>
        <w:jc w:val="right"/>
        <w:outlineLvl w:val="0"/>
        <w:rPr>
          <w:rFonts w:cs="Arial"/>
          <w:b/>
          <w:color w:val="000000"/>
          <w:szCs w:val="22"/>
        </w:rPr>
      </w:pPr>
      <w:r w:rsidRPr="00A54440">
        <w:rPr>
          <w:rFonts w:cs="Arial"/>
          <w:b/>
          <w:color w:val="000000"/>
          <w:szCs w:val="22"/>
        </w:rPr>
        <w:t>Informacja prasowa</w:t>
      </w:r>
    </w:p>
    <w:p w14:paraId="461D34EE" w14:textId="7CC4E9C3" w:rsidR="00CF29EB" w:rsidRPr="00EC69EE" w:rsidRDefault="00C25B95" w:rsidP="00152AED">
      <w:pPr>
        <w:shd w:val="clear" w:color="auto" w:fill="FFFFFF"/>
        <w:spacing w:line="360" w:lineRule="auto"/>
        <w:ind w:firstLine="708"/>
        <w:jc w:val="right"/>
        <w:rPr>
          <w:rFonts w:cs="Arial"/>
          <w:szCs w:val="22"/>
        </w:rPr>
      </w:pPr>
      <w:r w:rsidRPr="00EC69EE">
        <w:rPr>
          <w:rFonts w:cs="Arial"/>
          <w:szCs w:val="22"/>
        </w:rPr>
        <w:t xml:space="preserve">Warszawa, dnia </w:t>
      </w:r>
      <w:r w:rsidR="0093339D">
        <w:rPr>
          <w:rFonts w:cs="Arial"/>
          <w:szCs w:val="22"/>
        </w:rPr>
        <w:t>4</w:t>
      </w:r>
      <w:r w:rsidR="00581D41">
        <w:rPr>
          <w:rFonts w:cs="Arial"/>
          <w:szCs w:val="22"/>
        </w:rPr>
        <w:t xml:space="preserve"> </w:t>
      </w:r>
      <w:r w:rsidR="0093339D">
        <w:rPr>
          <w:rFonts w:cs="Arial"/>
          <w:szCs w:val="22"/>
        </w:rPr>
        <w:t>listopada</w:t>
      </w:r>
      <w:r w:rsidR="00293AEC">
        <w:rPr>
          <w:rFonts w:cs="Arial"/>
          <w:szCs w:val="22"/>
        </w:rPr>
        <w:t xml:space="preserve"> </w:t>
      </w:r>
      <w:r w:rsidR="00313B9B">
        <w:rPr>
          <w:rFonts w:cs="Arial"/>
          <w:szCs w:val="22"/>
        </w:rPr>
        <w:t>202</w:t>
      </w:r>
      <w:r w:rsidR="002D55A0">
        <w:rPr>
          <w:rFonts w:cs="Arial"/>
          <w:szCs w:val="22"/>
        </w:rPr>
        <w:t>4</w:t>
      </w:r>
      <w:r w:rsidR="00FB1193" w:rsidRPr="00EC69EE">
        <w:rPr>
          <w:rFonts w:cs="Arial"/>
          <w:szCs w:val="22"/>
        </w:rPr>
        <w:t xml:space="preserve"> </w:t>
      </w:r>
      <w:r w:rsidR="00B41D4A" w:rsidRPr="00EC69EE">
        <w:rPr>
          <w:rFonts w:cs="Arial"/>
          <w:szCs w:val="22"/>
        </w:rPr>
        <w:t>r.</w:t>
      </w:r>
    </w:p>
    <w:p w14:paraId="698472F0" w14:textId="77777777" w:rsidR="00E01439" w:rsidRDefault="00E01439" w:rsidP="00393F1F">
      <w:pPr>
        <w:spacing w:line="360" w:lineRule="auto"/>
        <w:jc w:val="both"/>
        <w:rPr>
          <w:rFonts w:cs="Arial"/>
          <w:szCs w:val="22"/>
        </w:rPr>
      </w:pPr>
    </w:p>
    <w:p w14:paraId="193A5148" w14:textId="77777777" w:rsidR="009438C9" w:rsidRPr="00EC69EE" w:rsidRDefault="009438C9" w:rsidP="00393F1F">
      <w:pPr>
        <w:spacing w:line="360" w:lineRule="auto"/>
        <w:jc w:val="both"/>
        <w:rPr>
          <w:rFonts w:cs="Arial"/>
          <w:szCs w:val="22"/>
        </w:rPr>
      </w:pPr>
    </w:p>
    <w:p w14:paraId="6D4D06CD" w14:textId="77777777" w:rsidR="00AA7C1B" w:rsidRPr="00EC69EE" w:rsidRDefault="00AA7C1B" w:rsidP="00AA7C1B">
      <w:pPr>
        <w:spacing w:line="360" w:lineRule="auto"/>
        <w:jc w:val="center"/>
        <w:rPr>
          <w:rFonts w:cs="Arial"/>
          <w:b/>
          <w:szCs w:val="22"/>
          <w:u w:val="single"/>
        </w:rPr>
      </w:pPr>
    </w:p>
    <w:p w14:paraId="3F0AE9E6" w14:textId="69B17A5E" w:rsidR="00E12FD0" w:rsidRPr="00EC69EE" w:rsidRDefault="0034629C" w:rsidP="00E12FD0">
      <w:pPr>
        <w:spacing w:line="360" w:lineRule="auto"/>
        <w:jc w:val="center"/>
        <w:rPr>
          <w:rFonts w:cs="Arial"/>
          <w:b/>
          <w:u w:val="single"/>
        </w:rPr>
      </w:pPr>
      <w:r>
        <w:rPr>
          <w:rFonts w:cs="Arial"/>
          <w:b/>
          <w:u w:val="single"/>
        </w:rPr>
        <w:t>Eksport w</w:t>
      </w:r>
      <w:r w:rsidR="0093339D">
        <w:rPr>
          <w:rFonts w:cs="Arial"/>
          <w:b/>
          <w:u w:val="single"/>
        </w:rPr>
        <w:t>e</w:t>
      </w:r>
      <w:r w:rsidR="0003716D">
        <w:rPr>
          <w:rFonts w:cs="Arial"/>
          <w:b/>
          <w:u w:val="single"/>
        </w:rPr>
        <w:t xml:space="preserve"> </w:t>
      </w:r>
      <w:r w:rsidR="0093339D">
        <w:rPr>
          <w:rFonts w:cs="Arial"/>
          <w:b/>
          <w:u w:val="single"/>
        </w:rPr>
        <w:t>wrześniu</w:t>
      </w:r>
      <w:r w:rsidR="001C7398">
        <w:rPr>
          <w:rFonts w:cs="Arial"/>
          <w:b/>
          <w:u w:val="single"/>
        </w:rPr>
        <w:t xml:space="preserve"> </w:t>
      </w:r>
      <w:r w:rsidR="00B6510C">
        <w:rPr>
          <w:rFonts w:cs="Arial"/>
          <w:b/>
          <w:u w:val="single"/>
        </w:rPr>
        <w:t>202</w:t>
      </w:r>
      <w:r w:rsidR="002451CB">
        <w:rPr>
          <w:rFonts w:cs="Arial"/>
          <w:b/>
          <w:u w:val="single"/>
        </w:rPr>
        <w:t>4</w:t>
      </w:r>
      <w:r w:rsidR="00EC69EE" w:rsidRPr="00EC69EE">
        <w:rPr>
          <w:rFonts w:cs="Arial"/>
          <w:b/>
          <w:u w:val="single"/>
        </w:rPr>
        <w:t xml:space="preserve"> – prognoza Krajowej Izby Gospodarczej</w:t>
      </w:r>
    </w:p>
    <w:p w14:paraId="20BBE71C" w14:textId="77777777" w:rsidR="007140E1" w:rsidRPr="00EC69EE" w:rsidRDefault="007140E1" w:rsidP="007140E1">
      <w:pPr>
        <w:spacing w:line="360" w:lineRule="auto"/>
        <w:jc w:val="both"/>
        <w:rPr>
          <w:rFonts w:cs="Arial"/>
          <w:u w:val="single"/>
        </w:rPr>
      </w:pPr>
      <w:r w:rsidRPr="00EC69EE">
        <w:rPr>
          <w:rFonts w:cs="Arial"/>
          <w:u w:val="single"/>
        </w:rPr>
        <w:t xml:space="preserve"> </w:t>
      </w:r>
    </w:p>
    <w:p w14:paraId="0332AA58" w14:textId="167BB720" w:rsidR="00682FD6" w:rsidRDefault="00EC69EE" w:rsidP="00EC69EE">
      <w:pPr>
        <w:spacing w:line="360" w:lineRule="auto"/>
        <w:jc w:val="both"/>
        <w:rPr>
          <w:rFonts w:cs="Arial"/>
          <w:b/>
        </w:rPr>
      </w:pPr>
      <w:r w:rsidRPr="00EC69EE">
        <w:rPr>
          <w:rFonts w:cs="Arial"/>
          <w:b/>
        </w:rPr>
        <w:t xml:space="preserve">Dostępne obecnie dane o stanie gospodarki realnej oraz opinie pozyskane </w:t>
      </w:r>
      <w:r w:rsidRPr="00EC69EE">
        <w:rPr>
          <w:rFonts w:cs="Arial"/>
          <w:b/>
        </w:rPr>
        <w:br/>
        <w:t>od członków KIG pozwalają szacować, że eksport w</w:t>
      </w:r>
      <w:r w:rsidR="0093339D">
        <w:rPr>
          <w:rFonts w:cs="Arial"/>
          <w:b/>
        </w:rPr>
        <w:t>e</w:t>
      </w:r>
      <w:r w:rsidRPr="00EC69EE">
        <w:rPr>
          <w:rFonts w:cs="Arial"/>
          <w:b/>
        </w:rPr>
        <w:t xml:space="preserve"> </w:t>
      </w:r>
      <w:r w:rsidR="0093339D">
        <w:rPr>
          <w:rFonts w:cs="Arial"/>
          <w:b/>
        </w:rPr>
        <w:t>wrześniu</w:t>
      </w:r>
      <w:r w:rsidR="00B6510C">
        <w:rPr>
          <w:rFonts w:cs="Arial"/>
          <w:b/>
        </w:rPr>
        <w:t xml:space="preserve"> 202</w:t>
      </w:r>
      <w:r w:rsidR="002451CB">
        <w:rPr>
          <w:rFonts w:cs="Arial"/>
          <w:b/>
        </w:rPr>
        <w:t>4</w:t>
      </w:r>
      <w:r w:rsidR="0079303B">
        <w:rPr>
          <w:rFonts w:cs="Arial"/>
          <w:b/>
        </w:rPr>
        <w:t xml:space="preserve"> roku</w:t>
      </w:r>
      <w:r w:rsidRPr="00EC69EE">
        <w:rPr>
          <w:rFonts w:cs="Arial"/>
          <w:b/>
        </w:rPr>
        <w:t xml:space="preserve"> wyniósł </w:t>
      </w:r>
      <w:r w:rsidR="00A54440">
        <w:rPr>
          <w:rFonts w:cs="Arial"/>
          <w:b/>
        </w:rPr>
        <w:br/>
      </w:r>
      <w:r w:rsidR="00E20A02">
        <w:rPr>
          <w:rFonts w:cs="Arial"/>
          <w:b/>
        </w:rPr>
        <w:t>2</w:t>
      </w:r>
      <w:r w:rsidR="0093339D">
        <w:rPr>
          <w:rFonts w:cs="Arial"/>
          <w:b/>
        </w:rPr>
        <w:t>8</w:t>
      </w:r>
      <w:r w:rsidR="00E20A02">
        <w:rPr>
          <w:rFonts w:cs="Arial"/>
          <w:b/>
        </w:rPr>
        <w:t xml:space="preserve"> </w:t>
      </w:r>
      <w:r w:rsidR="0093339D">
        <w:rPr>
          <w:rFonts w:cs="Arial"/>
          <w:b/>
        </w:rPr>
        <w:t>127</w:t>
      </w:r>
      <w:r w:rsidRPr="00EC69EE">
        <w:rPr>
          <w:rFonts w:cs="Arial"/>
          <w:b/>
        </w:rPr>
        <w:t xml:space="preserve"> mln EUR. </w:t>
      </w:r>
      <w:r w:rsidR="00375D96">
        <w:rPr>
          <w:rFonts w:cs="Arial"/>
          <w:b/>
        </w:rPr>
        <w:t xml:space="preserve">Okazał </w:t>
      </w:r>
      <w:r w:rsidR="004A7F12">
        <w:rPr>
          <w:rFonts w:cs="Arial"/>
          <w:b/>
        </w:rPr>
        <w:t>się</w:t>
      </w:r>
      <w:r w:rsidR="00DD4E10">
        <w:rPr>
          <w:rFonts w:cs="Arial"/>
          <w:b/>
        </w:rPr>
        <w:t xml:space="preserve"> więc</w:t>
      </w:r>
      <w:r w:rsidR="00375D96">
        <w:rPr>
          <w:rFonts w:cs="Arial"/>
          <w:b/>
        </w:rPr>
        <w:t xml:space="preserve"> </w:t>
      </w:r>
      <w:r w:rsidR="00E20A02">
        <w:rPr>
          <w:rFonts w:cs="Arial"/>
          <w:b/>
        </w:rPr>
        <w:t xml:space="preserve">o </w:t>
      </w:r>
      <w:r w:rsidR="0093339D">
        <w:rPr>
          <w:rFonts w:cs="Arial"/>
          <w:b/>
        </w:rPr>
        <w:t>12,7</w:t>
      </w:r>
      <w:r w:rsidR="00E20A02">
        <w:rPr>
          <w:rFonts w:cs="Arial"/>
          <w:b/>
        </w:rPr>
        <w:t xml:space="preserve">% </w:t>
      </w:r>
      <w:r w:rsidR="0093339D">
        <w:rPr>
          <w:rFonts w:cs="Arial"/>
          <w:b/>
        </w:rPr>
        <w:t>wyższy</w:t>
      </w:r>
      <w:r w:rsidR="00E20A02">
        <w:rPr>
          <w:rFonts w:cs="Arial"/>
          <w:b/>
        </w:rPr>
        <w:t xml:space="preserve"> niż</w:t>
      </w:r>
      <w:r w:rsidRPr="00EC69EE">
        <w:rPr>
          <w:rFonts w:cs="Arial"/>
          <w:b/>
        </w:rPr>
        <w:t xml:space="preserve"> </w:t>
      </w:r>
      <w:r w:rsidR="008A3776">
        <w:rPr>
          <w:rFonts w:cs="Arial"/>
          <w:b/>
        </w:rPr>
        <w:t>w</w:t>
      </w:r>
      <w:r w:rsidR="00EB7CEF">
        <w:rPr>
          <w:rFonts w:cs="Arial"/>
          <w:b/>
        </w:rPr>
        <w:t xml:space="preserve"> </w:t>
      </w:r>
      <w:r w:rsidR="0093339D">
        <w:rPr>
          <w:rFonts w:cs="Arial"/>
          <w:b/>
        </w:rPr>
        <w:t>sierpniu</w:t>
      </w:r>
      <w:r w:rsidR="00DD4E10">
        <w:rPr>
          <w:rFonts w:cs="Arial"/>
          <w:b/>
        </w:rPr>
        <w:t xml:space="preserve">, </w:t>
      </w:r>
      <w:r w:rsidRPr="00EC69EE">
        <w:rPr>
          <w:rFonts w:cs="Arial"/>
          <w:b/>
        </w:rPr>
        <w:t xml:space="preserve">w stosunku </w:t>
      </w:r>
      <w:r w:rsidR="008A2E95">
        <w:rPr>
          <w:rFonts w:cs="Arial"/>
          <w:b/>
        </w:rPr>
        <w:t xml:space="preserve">zaś do wielkości notowanych przed </w:t>
      </w:r>
      <w:r w:rsidR="003F5F69">
        <w:rPr>
          <w:rFonts w:cs="Arial"/>
          <w:b/>
        </w:rPr>
        <w:t>dwunast</w:t>
      </w:r>
      <w:r w:rsidR="007D5C20">
        <w:rPr>
          <w:rFonts w:cs="Arial"/>
          <w:b/>
        </w:rPr>
        <w:t>oma</w:t>
      </w:r>
      <w:r w:rsidR="003F5F69">
        <w:rPr>
          <w:rFonts w:cs="Arial"/>
          <w:b/>
        </w:rPr>
        <w:t xml:space="preserve"> miesiącami </w:t>
      </w:r>
      <w:r w:rsidR="0093339D">
        <w:rPr>
          <w:rFonts w:cs="Arial"/>
          <w:b/>
        </w:rPr>
        <w:t>zwiększył</w:t>
      </w:r>
      <w:r w:rsidR="00A33C92">
        <w:rPr>
          <w:rFonts w:cs="Arial"/>
          <w:b/>
        </w:rPr>
        <w:t xml:space="preserve"> </w:t>
      </w:r>
      <w:r w:rsidR="008A3776">
        <w:rPr>
          <w:rFonts w:cs="Arial"/>
          <w:b/>
        </w:rPr>
        <w:t xml:space="preserve">się o </w:t>
      </w:r>
      <w:r w:rsidR="00A33C92">
        <w:rPr>
          <w:rFonts w:cs="Arial"/>
          <w:b/>
        </w:rPr>
        <w:t>0</w:t>
      </w:r>
      <w:r w:rsidR="005A357D">
        <w:rPr>
          <w:rFonts w:cs="Arial"/>
          <w:b/>
        </w:rPr>
        <w:t>,</w:t>
      </w:r>
      <w:r w:rsidR="0093339D">
        <w:rPr>
          <w:rFonts w:cs="Arial"/>
          <w:b/>
        </w:rPr>
        <w:t>8</w:t>
      </w:r>
      <w:r w:rsidR="008A3776">
        <w:rPr>
          <w:rFonts w:cs="Arial"/>
          <w:b/>
        </w:rPr>
        <w:t>%</w:t>
      </w:r>
      <w:r w:rsidR="00625F3E">
        <w:rPr>
          <w:rFonts w:cs="Arial"/>
          <w:b/>
        </w:rPr>
        <w:t>.</w:t>
      </w:r>
      <w:r w:rsidRPr="00EC69EE">
        <w:rPr>
          <w:rFonts w:cs="Arial"/>
          <w:b/>
        </w:rPr>
        <w:t xml:space="preserve"> W</w:t>
      </w:r>
      <w:r w:rsidR="003E5135">
        <w:rPr>
          <w:rFonts w:cs="Arial"/>
          <w:b/>
        </w:rPr>
        <w:t xml:space="preserve">ielkość eksportu </w:t>
      </w:r>
      <w:r w:rsidR="00A00751">
        <w:rPr>
          <w:rFonts w:cs="Arial"/>
          <w:b/>
        </w:rPr>
        <w:t xml:space="preserve">w </w:t>
      </w:r>
      <w:r w:rsidR="0093339D">
        <w:rPr>
          <w:rFonts w:cs="Arial"/>
          <w:b/>
        </w:rPr>
        <w:t>październiku</w:t>
      </w:r>
      <w:r w:rsidR="00A33C92">
        <w:rPr>
          <w:rFonts w:cs="Arial"/>
          <w:b/>
        </w:rPr>
        <w:t xml:space="preserve"> </w:t>
      </w:r>
      <w:r w:rsidR="00C9377E">
        <w:rPr>
          <w:rFonts w:cs="Arial"/>
          <w:b/>
        </w:rPr>
        <w:t>będzie</w:t>
      </w:r>
      <w:r w:rsidR="00FC142F">
        <w:rPr>
          <w:rFonts w:cs="Arial"/>
          <w:b/>
        </w:rPr>
        <w:t>,</w:t>
      </w:r>
      <w:r w:rsidR="005A357D">
        <w:rPr>
          <w:rFonts w:cs="Arial"/>
          <w:b/>
        </w:rPr>
        <w:t xml:space="preserve"> ze względów sezonowych</w:t>
      </w:r>
      <w:r w:rsidR="00FC142F">
        <w:rPr>
          <w:rFonts w:cs="Arial"/>
          <w:b/>
        </w:rPr>
        <w:t>,</w:t>
      </w:r>
      <w:r w:rsidR="005A357D">
        <w:rPr>
          <w:rFonts w:cs="Arial"/>
          <w:b/>
        </w:rPr>
        <w:t xml:space="preserve"> </w:t>
      </w:r>
      <w:r w:rsidR="00A33C92">
        <w:rPr>
          <w:rFonts w:cs="Arial"/>
          <w:b/>
        </w:rPr>
        <w:t>wyższa</w:t>
      </w:r>
      <w:r w:rsidR="005A357D">
        <w:rPr>
          <w:rFonts w:cs="Arial"/>
          <w:b/>
        </w:rPr>
        <w:t xml:space="preserve"> od notowanej w</w:t>
      </w:r>
      <w:r w:rsidR="0093339D">
        <w:rPr>
          <w:rFonts w:cs="Arial"/>
          <w:b/>
        </w:rPr>
        <w:t>e</w:t>
      </w:r>
      <w:r w:rsidR="005A357D">
        <w:rPr>
          <w:rFonts w:cs="Arial"/>
          <w:b/>
        </w:rPr>
        <w:t xml:space="preserve"> </w:t>
      </w:r>
      <w:r w:rsidR="0093339D">
        <w:rPr>
          <w:rFonts w:cs="Arial"/>
          <w:b/>
        </w:rPr>
        <w:t>wrześniu</w:t>
      </w:r>
      <w:r w:rsidR="005A357D">
        <w:rPr>
          <w:rFonts w:cs="Arial"/>
          <w:b/>
        </w:rPr>
        <w:t xml:space="preserve">. </w:t>
      </w:r>
      <w:r w:rsidR="00C9159B">
        <w:rPr>
          <w:rFonts w:cs="Arial"/>
          <w:b/>
        </w:rPr>
        <w:t xml:space="preserve"> </w:t>
      </w:r>
      <w:r w:rsidR="003C2A3F">
        <w:rPr>
          <w:rFonts w:cs="Arial"/>
          <w:b/>
        </w:rPr>
        <w:t xml:space="preserve"> </w:t>
      </w:r>
    </w:p>
    <w:p w14:paraId="639DECBE" w14:textId="6FB16312" w:rsidR="00EC69EE" w:rsidRPr="00EC69EE" w:rsidRDefault="00D774DB" w:rsidP="00EC69EE">
      <w:pPr>
        <w:spacing w:line="360" w:lineRule="auto"/>
        <w:jc w:val="both"/>
        <w:rPr>
          <w:rFonts w:cs="Arial"/>
          <w:b/>
        </w:rPr>
      </w:pPr>
      <w:r>
        <w:rPr>
          <w:rFonts w:cs="Arial"/>
          <w:b/>
        </w:rPr>
        <w:t xml:space="preserve"> </w:t>
      </w:r>
      <w:r w:rsidR="00321B4F">
        <w:rPr>
          <w:rFonts w:cs="Arial"/>
          <w:b/>
        </w:rPr>
        <w:t xml:space="preserve"> </w:t>
      </w:r>
      <w:r w:rsidR="003D28DD">
        <w:rPr>
          <w:rFonts w:cs="Arial"/>
          <w:b/>
        </w:rPr>
        <w:t xml:space="preserve"> </w:t>
      </w:r>
      <w:r w:rsidR="00C9377E">
        <w:rPr>
          <w:rFonts w:cs="Arial"/>
          <w:b/>
        </w:rPr>
        <w:t xml:space="preserve"> </w:t>
      </w:r>
    </w:p>
    <w:p w14:paraId="50ABF56E" w14:textId="29C5B13F" w:rsidR="0060633A" w:rsidRDefault="005A357D" w:rsidP="00703C84">
      <w:pPr>
        <w:spacing w:before="120" w:after="120" w:line="360" w:lineRule="auto"/>
        <w:jc w:val="both"/>
        <w:rPr>
          <w:rFonts w:cs="Arial"/>
        </w:rPr>
      </w:pPr>
      <w:r>
        <w:rPr>
          <w:rFonts w:cs="Arial"/>
        </w:rPr>
        <w:t>W</w:t>
      </w:r>
      <w:r w:rsidR="00AB26C2">
        <w:rPr>
          <w:rFonts w:cs="Arial"/>
        </w:rPr>
        <w:t xml:space="preserve">rzesień to zawsze miesiąc wyraźnego wzrostu aktywności eksportowej (po słabszych miesiącach wakacji, kiedy to część </w:t>
      </w:r>
      <w:r>
        <w:rPr>
          <w:rFonts w:cs="Arial"/>
        </w:rPr>
        <w:t>firm produkcyjnych przechodzi doroczne przeglądy ciągów technologicznych</w:t>
      </w:r>
      <w:r w:rsidR="00AB26C2">
        <w:rPr>
          <w:rFonts w:cs="Arial"/>
        </w:rPr>
        <w:t xml:space="preserve">). W bieżącym roku nieco mocniej niż zwykle na okres przerw wykorzystywany był sierpień. Stąd wrześniowe odbicie, po głębszym niż zwykle regresie, prezentować powinno się bardzo dobrze. Wzrost aktywności eksportowej we wrześniu to również początek okresu obfitszego </w:t>
      </w:r>
      <w:r w:rsidR="00FC142F">
        <w:rPr>
          <w:rFonts w:cs="Arial"/>
        </w:rPr>
        <w:t>zaopatrywania</w:t>
      </w:r>
      <w:r w:rsidR="00AB26C2">
        <w:rPr>
          <w:rFonts w:cs="Arial"/>
        </w:rPr>
        <w:t xml:space="preserve"> handlu tak na potrzeby wprowadzania kolekcji jesień – zima, ale również przygotowania do wyjątkowo wysokich obrotów w grudniu. Na pokaźne odbicie w</w:t>
      </w:r>
      <w:r w:rsidR="00991D64">
        <w:rPr>
          <w:rFonts w:cs="Arial"/>
        </w:rPr>
        <w:t xml:space="preserve">skazują tak wyniki przemysłu, jak i obroty w handlu hurtowym. </w:t>
      </w:r>
      <w:r w:rsidR="00A33C92">
        <w:rPr>
          <w:rFonts w:cs="Arial"/>
        </w:rPr>
        <w:t xml:space="preserve">W roku ubiegłym </w:t>
      </w:r>
      <w:r w:rsidR="00AB26C2">
        <w:rPr>
          <w:rFonts w:cs="Arial"/>
        </w:rPr>
        <w:t xml:space="preserve">wzrostowy impuls </w:t>
      </w:r>
      <w:r w:rsidR="00FC142F">
        <w:rPr>
          <w:rFonts w:cs="Arial"/>
        </w:rPr>
        <w:t xml:space="preserve">z września </w:t>
      </w:r>
      <w:r w:rsidR="00AB26C2">
        <w:rPr>
          <w:rFonts w:cs="Arial"/>
        </w:rPr>
        <w:t xml:space="preserve">był nieco słabszy. </w:t>
      </w:r>
      <w:r w:rsidR="00903D7C">
        <w:rPr>
          <w:rFonts w:cs="Arial"/>
        </w:rPr>
        <w:t xml:space="preserve">W konsekwencji roczna dynamika sprzedaży </w:t>
      </w:r>
      <w:r w:rsidR="00AB26C2">
        <w:rPr>
          <w:rFonts w:cs="Arial"/>
        </w:rPr>
        <w:t>poprawi</w:t>
      </w:r>
      <w:r w:rsidR="003B5656">
        <w:rPr>
          <w:rFonts w:cs="Arial"/>
        </w:rPr>
        <w:t xml:space="preserve"> się do</w:t>
      </w:r>
      <w:r w:rsidR="00E20A02">
        <w:rPr>
          <w:rFonts w:cs="Arial"/>
        </w:rPr>
        <w:t xml:space="preserve"> </w:t>
      </w:r>
      <w:r w:rsidR="00AB26C2">
        <w:rPr>
          <w:rFonts w:cs="Arial"/>
        </w:rPr>
        <w:t>dodatnich</w:t>
      </w:r>
      <w:r w:rsidR="00991D64">
        <w:rPr>
          <w:rFonts w:cs="Arial"/>
        </w:rPr>
        <w:t xml:space="preserve"> </w:t>
      </w:r>
      <w:r w:rsidR="00AB26C2">
        <w:rPr>
          <w:rFonts w:cs="Arial"/>
        </w:rPr>
        <w:t>0,8</w:t>
      </w:r>
      <w:r w:rsidR="00EC5F37">
        <w:rPr>
          <w:rFonts w:cs="Arial"/>
        </w:rPr>
        <w:t xml:space="preserve">% </w:t>
      </w:r>
      <w:r w:rsidR="0060633A">
        <w:rPr>
          <w:rFonts w:cs="Arial"/>
        </w:rPr>
        <w:t>w</w:t>
      </w:r>
      <w:r w:rsidR="00AB26C2">
        <w:rPr>
          <w:rFonts w:cs="Arial"/>
        </w:rPr>
        <w:t>e</w:t>
      </w:r>
      <w:r w:rsidR="0060633A">
        <w:rPr>
          <w:rFonts w:cs="Arial"/>
        </w:rPr>
        <w:t xml:space="preserve"> </w:t>
      </w:r>
      <w:r w:rsidR="00AB26C2">
        <w:rPr>
          <w:rFonts w:cs="Arial"/>
        </w:rPr>
        <w:t>wrześniu</w:t>
      </w:r>
      <w:r w:rsidR="00E20A02">
        <w:rPr>
          <w:rFonts w:cs="Arial"/>
        </w:rPr>
        <w:t xml:space="preserve"> po </w:t>
      </w:r>
      <w:r w:rsidR="00AB26C2">
        <w:rPr>
          <w:rFonts w:cs="Arial"/>
        </w:rPr>
        <w:t>ujemnych</w:t>
      </w:r>
      <w:r w:rsidR="0060633A">
        <w:rPr>
          <w:rFonts w:cs="Arial"/>
        </w:rPr>
        <w:t xml:space="preserve"> </w:t>
      </w:r>
      <w:r w:rsidR="00AB26C2">
        <w:rPr>
          <w:rFonts w:cs="Arial"/>
        </w:rPr>
        <w:t>-3,3</w:t>
      </w:r>
      <w:r w:rsidR="0060633A">
        <w:rPr>
          <w:rFonts w:cs="Arial"/>
        </w:rPr>
        <w:t>%</w:t>
      </w:r>
      <w:r w:rsidR="00E20A02">
        <w:rPr>
          <w:rFonts w:cs="Arial"/>
        </w:rPr>
        <w:t xml:space="preserve"> w </w:t>
      </w:r>
      <w:r w:rsidR="00AB26C2">
        <w:rPr>
          <w:rFonts w:cs="Arial"/>
        </w:rPr>
        <w:t>sierpniu</w:t>
      </w:r>
      <w:r w:rsidR="003B5656">
        <w:rPr>
          <w:rFonts w:cs="Arial"/>
        </w:rPr>
        <w:t>.</w:t>
      </w:r>
      <w:r w:rsidR="00E20A02">
        <w:rPr>
          <w:rFonts w:cs="Arial"/>
        </w:rPr>
        <w:t xml:space="preserve"> </w:t>
      </w:r>
      <w:r w:rsidR="0060633A">
        <w:rPr>
          <w:rFonts w:cs="Arial"/>
        </w:rPr>
        <w:t xml:space="preserve"> </w:t>
      </w:r>
    </w:p>
    <w:p w14:paraId="74610744" w14:textId="07C30D11" w:rsidR="00B524D7" w:rsidRPr="00AF78A1" w:rsidRDefault="00703C84" w:rsidP="009B6EBA">
      <w:pPr>
        <w:spacing w:before="120" w:after="120" w:line="360" w:lineRule="auto"/>
        <w:jc w:val="both"/>
        <w:rPr>
          <w:rFonts w:cs="Arial"/>
        </w:rPr>
      </w:pPr>
      <w:r w:rsidRPr="00AF78A1">
        <w:rPr>
          <w:rFonts w:cs="Arial"/>
        </w:rPr>
        <w:t>W</w:t>
      </w:r>
      <w:r w:rsidR="00897C53">
        <w:rPr>
          <w:rFonts w:cs="Arial"/>
        </w:rPr>
        <w:t>e</w:t>
      </w:r>
      <w:r w:rsidR="00533D1D" w:rsidRPr="00AF78A1">
        <w:rPr>
          <w:rFonts w:cs="Arial"/>
        </w:rPr>
        <w:t xml:space="preserve"> </w:t>
      </w:r>
      <w:r w:rsidR="00897C53">
        <w:rPr>
          <w:rFonts w:cs="Arial"/>
        </w:rPr>
        <w:t>wrześniu</w:t>
      </w:r>
      <w:r w:rsidR="005A357D">
        <w:rPr>
          <w:rFonts w:cs="Arial"/>
        </w:rPr>
        <w:t xml:space="preserve"> </w:t>
      </w:r>
      <w:r w:rsidR="0079303B" w:rsidRPr="00AF78A1">
        <w:rPr>
          <w:rFonts w:cs="Arial"/>
        </w:rPr>
        <w:t xml:space="preserve">wycena </w:t>
      </w:r>
      <w:r w:rsidRPr="00AF78A1">
        <w:rPr>
          <w:rFonts w:cs="Arial"/>
        </w:rPr>
        <w:t>złot</w:t>
      </w:r>
      <w:r w:rsidR="0079303B" w:rsidRPr="00AF78A1">
        <w:rPr>
          <w:rFonts w:cs="Arial"/>
        </w:rPr>
        <w:t>ego</w:t>
      </w:r>
      <w:r w:rsidRPr="00AF78A1">
        <w:rPr>
          <w:rFonts w:cs="Arial"/>
        </w:rPr>
        <w:t xml:space="preserve"> wobec euro </w:t>
      </w:r>
      <w:r w:rsidR="00D23D3D" w:rsidRPr="00AF78A1">
        <w:rPr>
          <w:rFonts w:cs="Arial"/>
        </w:rPr>
        <w:t xml:space="preserve">uległa </w:t>
      </w:r>
      <w:r w:rsidR="00897C53">
        <w:rPr>
          <w:rFonts w:cs="Arial"/>
        </w:rPr>
        <w:t>wzmocnieniu</w:t>
      </w:r>
      <w:r w:rsidR="00D23D3D" w:rsidRPr="00AF78A1">
        <w:rPr>
          <w:rFonts w:cs="Arial"/>
        </w:rPr>
        <w:t xml:space="preserve"> w stosunku do notowanej</w:t>
      </w:r>
      <w:r w:rsidR="0079303B" w:rsidRPr="00AF78A1">
        <w:rPr>
          <w:rFonts w:cs="Arial"/>
        </w:rPr>
        <w:t xml:space="preserve"> w </w:t>
      </w:r>
      <w:r w:rsidR="00897C53">
        <w:rPr>
          <w:rFonts w:cs="Arial"/>
        </w:rPr>
        <w:t>sierpniu</w:t>
      </w:r>
      <w:r w:rsidR="00B86D61">
        <w:rPr>
          <w:rFonts w:cs="Arial"/>
        </w:rPr>
        <w:t xml:space="preserve"> </w:t>
      </w:r>
      <w:r w:rsidR="00D23D3D" w:rsidRPr="00AF78A1">
        <w:rPr>
          <w:rFonts w:cs="Arial"/>
        </w:rPr>
        <w:t xml:space="preserve">o </w:t>
      </w:r>
      <w:r w:rsidR="005A357D">
        <w:rPr>
          <w:rFonts w:cs="Arial"/>
        </w:rPr>
        <w:t>0,</w:t>
      </w:r>
      <w:r w:rsidR="00897C53">
        <w:rPr>
          <w:rFonts w:cs="Arial"/>
        </w:rPr>
        <w:t>32</w:t>
      </w:r>
      <w:r w:rsidR="00D23D3D" w:rsidRPr="00AF78A1">
        <w:rPr>
          <w:rFonts w:cs="Arial"/>
        </w:rPr>
        <w:t xml:space="preserve">% </w:t>
      </w:r>
      <w:r w:rsidR="0079303B" w:rsidRPr="00AF78A1">
        <w:rPr>
          <w:rFonts w:cs="Arial"/>
        </w:rPr>
        <w:t>i wyniosła 4</w:t>
      </w:r>
      <w:r w:rsidR="001642EF" w:rsidRPr="00AF78A1">
        <w:rPr>
          <w:rFonts w:cs="Arial"/>
        </w:rPr>
        <w:t>,</w:t>
      </w:r>
      <w:r w:rsidR="005A357D">
        <w:rPr>
          <w:rFonts w:cs="Arial"/>
        </w:rPr>
        <w:t>2</w:t>
      </w:r>
      <w:r w:rsidR="00897C53">
        <w:rPr>
          <w:rFonts w:cs="Arial"/>
        </w:rPr>
        <w:t>782</w:t>
      </w:r>
      <w:r w:rsidR="0079303B" w:rsidRPr="00AF78A1">
        <w:rPr>
          <w:rFonts w:cs="Arial"/>
        </w:rPr>
        <w:t>.</w:t>
      </w:r>
      <w:r w:rsidR="00FE707B" w:rsidRPr="00AF78A1">
        <w:rPr>
          <w:rFonts w:cs="Arial"/>
        </w:rPr>
        <w:t xml:space="preserve"> </w:t>
      </w:r>
      <w:r w:rsidR="0079303B" w:rsidRPr="00AF78A1">
        <w:rPr>
          <w:rFonts w:cs="Arial"/>
        </w:rPr>
        <w:t>R</w:t>
      </w:r>
      <w:r w:rsidR="00FE707B" w:rsidRPr="00AF78A1">
        <w:rPr>
          <w:rFonts w:cs="Arial"/>
        </w:rPr>
        <w:t>ównocześnie okazał</w:t>
      </w:r>
      <w:r w:rsidR="0079303B" w:rsidRPr="00AF78A1">
        <w:rPr>
          <w:rFonts w:cs="Arial"/>
        </w:rPr>
        <w:t>a</w:t>
      </w:r>
      <w:r w:rsidR="00FE707B" w:rsidRPr="00AF78A1">
        <w:rPr>
          <w:rFonts w:cs="Arial"/>
        </w:rPr>
        <w:t xml:space="preserve"> się o</w:t>
      </w:r>
      <w:r w:rsidR="000C6A32" w:rsidRPr="00AF78A1">
        <w:rPr>
          <w:rFonts w:cs="Arial"/>
        </w:rPr>
        <w:t xml:space="preserve"> </w:t>
      </w:r>
      <w:r w:rsidR="00897C53">
        <w:rPr>
          <w:rFonts w:cs="Arial"/>
        </w:rPr>
        <w:t>6,9</w:t>
      </w:r>
      <w:r w:rsidRPr="00AF78A1">
        <w:rPr>
          <w:rFonts w:cs="Arial"/>
        </w:rPr>
        <w:t xml:space="preserve">% </w:t>
      </w:r>
      <w:r w:rsidR="00EF0C5F">
        <w:rPr>
          <w:rFonts w:cs="Arial"/>
        </w:rPr>
        <w:t>mocniejsza</w:t>
      </w:r>
      <w:r w:rsidRPr="00AF78A1">
        <w:rPr>
          <w:rFonts w:cs="Arial"/>
        </w:rPr>
        <w:t xml:space="preserve"> niż przed rokiem (w</w:t>
      </w:r>
      <w:r w:rsidR="00C613EF" w:rsidRPr="00AF78A1">
        <w:rPr>
          <w:rFonts w:cs="Arial"/>
        </w:rPr>
        <w:t xml:space="preserve"> </w:t>
      </w:r>
      <w:r w:rsidR="00897C53">
        <w:rPr>
          <w:rFonts w:cs="Arial"/>
        </w:rPr>
        <w:t>sierpniu</w:t>
      </w:r>
      <w:r w:rsidR="00486C23">
        <w:rPr>
          <w:rFonts w:cs="Arial"/>
        </w:rPr>
        <w:t xml:space="preserve"> </w:t>
      </w:r>
      <w:r w:rsidRPr="00AF78A1">
        <w:rPr>
          <w:rFonts w:cs="Arial"/>
        </w:rPr>
        <w:t xml:space="preserve">złoty był </w:t>
      </w:r>
      <w:r w:rsidR="00E71154">
        <w:rPr>
          <w:rFonts w:cs="Arial"/>
        </w:rPr>
        <w:t>mocniejszy</w:t>
      </w:r>
      <w:r w:rsidRPr="00AF78A1">
        <w:rPr>
          <w:rFonts w:cs="Arial"/>
        </w:rPr>
        <w:t xml:space="preserve"> niż przed rokiem</w:t>
      </w:r>
      <w:r w:rsidR="0079303B" w:rsidRPr="00AF78A1">
        <w:rPr>
          <w:rFonts w:cs="Arial"/>
        </w:rPr>
        <w:t xml:space="preserve"> </w:t>
      </w:r>
      <w:r w:rsidR="00E63A68" w:rsidRPr="00AF78A1">
        <w:rPr>
          <w:rFonts w:cs="Arial"/>
        </w:rPr>
        <w:t xml:space="preserve">o </w:t>
      </w:r>
      <w:r w:rsidR="00AE0D34">
        <w:rPr>
          <w:rFonts w:cs="Arial"/>
        </w:rPr>
        <w:t>3,</w:t>
      </w:r>
      <w:r w:rsidR="00897C53">
        <w:rPr>
          <w:rFonts w:cs="Arial"/>
        </w:rPr>
        <w:t>8</w:t>
      </w:r>
      <w:r w:rsidR="00C613EF" w:rsidRPr="00AF78A1">
        <w:rPr>
          <w:rFonts w:cs="Arial"/>
        </w:rPr>
        <w:t>%</w:t>
      </w:r>
      <w:r w:rsidRPr="00AF78A1">
        <w:rPr>
          <w:rFonts w:cs="Arial"/>
        </w:rPr>
        <w:t xml:space="preserve">). </w:t>
      </w:r>
    </w:p>
    <w:p w14:paraId="211910FD" w14:textId="642A050C" w:rsidR="00401A3D" w:rsidRDefault="00897C53" w:rsidP="00287AA2">
      <w:pPr>
        <w:spacing w:before="120" w:after="120" w:line="360" w:lineRule="auto"/>
        <w:jc w:val="both"/>
        <w:rPr>
          <w:rFonts w:cs="Arial"/>
        </w:rPr>
      </w:pPr>
      <w:r>
        <w:rPr>
          <w:rFonts w:cs="Arial"/>
        </w:rPr>
        <w:lastRenderedPageBreak/>
        <w:t>Podobnie</w:t>
      </w:r>
      <w:r w:rsidR="00867A8D">
        <w:rPr>
          <w:rFonts w:cs="Arial"/>
        </w:rPr>
        <w:t xml:space="preserve"> co do kierunku (</w:t>
      </w:r>
      <w:r>
        <w:rPr>
          <w:rFonts w:cs="Arial"/>
        </w:rPr>
        <w:t>lecz</w:t>
      </w:r>
      <w:r w:rsidR="00867A8D">
        <w:rPr>
          <w:rFonts w:cs="Arial"/>
        </w:rPr>
        <w:t xml:space="preserve"> większej skali) zm</w:t>
      </w:r>
      <w:r w:rsidR="00457E57" w:rsidRPr="00AF78A1">
        <w:rPr>
          <w:rFonts w:cs="Arial"/>
        </w:rPr>
        <w:t>iany</w:t>
      </w:r>
      <w:r w:rsidR="00457E57">
        <w:rPr>
          <w:rFonts w:cs="Arial"/>
        </w:rPr>
        <w:t xml:space="preserve"> obserwowano</w:t>
      </w:r>
      <w:r w:rsidR="00D23D3D" w:rsidRPr="00AF78A1">
        <w:rPr>
          <w:rFonts w:cs="Arial"/>
        </w:rPr>
        <w:t xml:space="preserve"> w przypadku </w:t>
      </w:r>
      <w:r w:rsidR="00E33959">
        <w:rPr>
          <w:rFonts w:cs="Arial"/>
        </w:rPr>
        <w:t xml:space="preserve">notowań </w:t>
      </w:r>
      <w:r w:rsidR="00D23D3D" w:rsidRPr="00AF78A1">
        <w:rPr>
          <w:rFonts w:cs="Arial"/>
        </w:rPr>
        <w:t>dolara</w:t>
      </w:r>
      <w:r w:rsidR="00EC5F37">
        <w:rPr>
          <w:rFonts w:cs="Arial"/>
        </w:rPr>
        <w:t>.</w:t>
      </w:r>
      <w:r w:rsidR="00763959">
        <w:rPr>
          <w:rFonts w:cs="Arial"/>
        </w:rPr>
        <w:t xml:space="preserve"> </w:t>
      </w:r>
      <w:r w:rsidR="00703C84" w:rsidRPr="00AF78A1">
        <w:rPr>
          <w:rFonts w:cs="Arial"/>
        </w:rPr>
        <w:t>W</w:t>
      </w:r>
      <w:r>
        <w:rPr>
          <w:rFonts w:cs="Arial"/>
        </w:rPr>
        <w:t>e</w:t>
      </w:r>
      <w:r w:rsidR="00703C84" w:rsidRPr="00AF78A1">
        <w:rPr>
          <w:rFonts w:cs="Arial"/>
        </w:rPr>
        <w:t xml:space="preserve"> </w:t>
      </w:r>
      <w:r>
        <w:rPr>
          <w:rFonts w:cs="Arial"/>
        </w:rPr>
        <w:t>wrześniu</w:t>
      </w:r>
      <w:r w:rsidR="00E017DC">
        <w:rPr>
          <w:rFonts w:cs="Arial"/>
        </w:rPr>
        <w:t xml:space="preserve"> </w:t>
      </w:r>
      <w:r w:rsidR="00703C84" w:rsidRPr="00AF78A1">
        <w:rPr>
          <w:rFonts w:cs="Arial"/>
        </w:rPr>
        <w:t>złoty</w:t>
      </w:r>
      <w:r w:rsidR="00810973" w:rsidRPr="00AF78A1">
        <w:rPr>
          <w:rFonts w:cs="Arial"/>
        </w:rPr>
        <w:t xml:space="preserve"> </w:t>
      </w:r>
      <w:r w:rsidR="00AE0D34">
        <w:rPr>
          <w:rFonts w:cs="Arial"/>
        </w:rPr>
        <w:t>wzmocnił</w:t>
      </w:r>
      <w:r w:rsidR="00BD3CC3">
        <w:rPr>
          <w:rFonts w:cs="Arial"/>
        </w:rPr>
        <w:t xml:space="preserve"> </w:t>
      </w:r>
      <w:r w:rsidR="00703C84" w:rsidRPr="00AF78A1">
        <w:rPr>
          <w:rFonts w:cs="Arial"/>
        </w:rPr>
        <w:t xml:space="preserve">się w stosunku do tej waluty </w:t>
      </w:r>
      <w:r w:rsidR="00C613EF" w:rsidRPr="00AF78A1">
        <w:rPr>
          <w:rFonts w:cs="Arial"/>
        </w:rPr>
        <w:t xml:space="preserve">o </w:t>
      </w:r>
      <w:r w:rsidR="00E20A02">
        <w:rPr>
          <w:rFonts w:cs="Arial"/>
        </w:rPr>
        <w:t>1,</w:t>
      </w:r>
      <w:r>
        <w:rPr>
          <w:rFonts w:cs="Arial"/>
        </w:rPr>
        <w:t>33</w:t>
      </w:r>
      <w:r w:rsidR="002167F4">
        <w:rPr>
          <w:rFonts w:cs="Arial"/>
        </w:rPr>
        <w:t>%</w:t>
      </w:r>
      <w:r w:rsidR="00F73DC2" w:rsidRPr="00AF78A1">
        <w:rPr>
          <w:rFonts w:cs="Arial"/>
        </w:rPr>
        <w:t xml:space="preserve"> </w:t>
      </w:r>
      <w:r w:rsidR="00FE707B" w:rsidRPr="00AF78A1">
        <w:rPr>
          <w:rFonts w:cs="Arial"/>
        </w:rPr>
        <w:t xml:space="preserve">do </w:t>
      </w:r>
      <w:r w:rsidR="00AE0D34">
        <w:rPr>
          <w:rFonts w:cs="Arial"/>
        </w:rPr>
        <w:t>3,</w:t>
      </w:r>
      <w:r>
        <w:rPr>
          <w:rFonts w:cs="Arial"/>
        </w:rPr>
        <w:t>8501</w:t>
      </w:r>
      <w:r w:rsidR="00B524D7" w:rsidRPr="00AF78A1">
        <w:rPr>
          <w:rFonts w:cs="Arial"/>
        </w:rPr>
        <w:t>.</w:t>
      </w:r>
      <w:r w:rsidR="00703C84" w:rsidRPr="00AF78A1">
        <w:rPr>
          <w:rFonts w:cs="Arial"/>
        </w:rPr>
        <w:t xml:space="preserve"> </w:t>
      </w:r>
      <w:r>
        <w:rPr>
          <w:rFonts w:cs="Arial"/>
        </w:rPr>
        <w:t>Wrześniowa</w:t>
      </w:r>
      <w:r w:rsidR="00321B4F" w:rsidRPr="00AF78A1">
        <w:rPr>
          <w:rFonts w:cs="Arial"/>
        </w:rPr>
        <w:t xml:space="preserve"> </w:t>
      </w:r>
      <w:r w:rsidR="002F721A" w:rsidRPr="00AF78A1">
        <w:rPr>
          <w:rFonts w:cs="Arial"/>
        </w:rPr>
        <w:t xml:space="preserve">wycena </w:t>
      </w:r>
      <w:r w:rsidR="00703C84" w:rsidRPr="00AF78A1">
        <w:rPr>
          <w:rFonts w:cs="Arial"/>
        </w:rPr>
        <w:t>okazał</w:t>
      </w:r>
      <w:r w:rsidR="002F721A" w:rsidRPr="00AF78A1">
        <w:rPr>
          <w:rFonts w:cs="Arial"/>
        </w:rPr>
        <w:t>a</w:t>
      </w:r>
      <w:r w:rsidR="00703C84" w:rsidRPr="00AF78A1">
        <w:rPr>
          <w:rFonts w:cs="Arial"/>
        </w:rPr>
        <w:t xml:space="preserve"> si</w:t>
      </w:r>
      <w:r w:rsidR="00F73DC2" w:rsidRPr="00AF78A1">
        <w:rPr>
          <w:rFonts w:cs="Arial"/>
        </w:rPr>
        <w:t xml:space="preserve">ę </w:t>
      </w:r>
      <w:r w:rsidR="002167F4">
        <w:rPr>
          <w:rFonts w:cs="Arial"/>
        </w:rPr>
        <w:t>jednocześnie</w:t>
      </w:r>
      <w:r w:rsidR="00E8013B">
        <w:rPr>
          <w:rFonts w:cs="Arial"/>
        </w:rPr>
        <w:t xml:space="preserve"> </w:t>
      </w:r>
      <w:r w:rsidR="00E71154">
        <w:rPr>
          <w:rFonts w:cs="Arial"/>
        </w:rPr>
        <w:t>mocniejsza</w:t>
      </w:r>
      <w:r w:rsidR="00F73DC2" w:rsidRPr="00AF78A1">
        <w:rPr>
          <w:rFonts w:cs="Arial"/>
        </w:rPr>
        <w:t xml:space="preserve"> niż przed rokiem</w:t>
      </w:r>
      <w:r w:rsidR="00FE707B" w:rsidRPr="00AF78A1">
        <w:rPr>
          <w:rFonts w:cs="Arial"/>
        </w:rPr>
        <w:t xml:space="preserve"> o</w:t>
      </w:r>
      <w:r w:rsidR="00121E69" w:rsidRPr="00AF78A1">
        <w:rPr>
          <w:rFonts w:cs="Arial"/>
        </w:rPr>
        <w:t xml:space="preserve"> </w:t>
      </w:r>
      <w:r>
        <w:rPr>
          <w:rFonts w:cs="Arial"/>
        </w:rPr>
        <w:t>10,4</w:t>
      </w:r>
      <w:r w:rsidR="00703C84" w:rsidRPr="00AF78A1">
        <w:rPr>
          <w:rFonts w:cs="Arial"/>
        </w:rPr>
        <w:t>%</w:t>
      </w:r>
      <w:r w:rsidR="00EF0C5F">
        <w:rPr>
          <w:rFonts w:cs="Arial"/>
        </w:rPr>
        <w:t>.</w:t>
      </w:r>
      <w:r w:rsidR="00763959">
        <w:rPr>
          <w:rFonts w:cs="Arial"/>
        </w:rPr>
        <w:t xml:space="preserve"> </w:t>
      </w:r>
      <w:r w:rsidR="00EF0C5F">
        <w:rPr>
          <w:rFonts w:cs="Arial"/>
        </w:rPr>
        <w:t>W</w:t>
      </w:r>
      <w:r w:rsidR="00731C0A" w:rsidRPr="00AF78A1">
        <w:rPr>
          <w:rFonts w:cs="Arial"/>
        </w:rPr>
        <w:t xml:space="preserve"> </w:t>
      </w:r>
      <w:r>
        <w:rPr>
          <w:rFonts w:cs="Arial"/>
        </w:rPr>
        <w:t>sierpniu</w:t>
      </w:r>
      <w:r w:rsidR="001C4F38">
        <w:rPr>
          <w:rFonts w:cs="Arial"/>
        </w:rPr>
        <w:t xml:space="preserve"> </w:t>
      </w:r>
      <w:r w:rsidR="00731C0A" w:rsidRPr="00AF78A1">
        <w:rPr>
          <w:rFonts w:cs="Arial"/>
        </w:rPr>
        <w:t xml:space="preserve">złoty wobec dolara był </w:t>
      </w:r>
      <w:r w:rsidR="00B86D61">
        <w:rPr>
          <w:rFonts w:cs="Arial"/>
        </w:rPr>
        <w:t>mocniejszy</w:t>
      </w:r>
      <w:r w:rsidR="00731C0A" w:rsidRPr="00AF78A1">
        <w:rPr>
          <w:rFonts w:cs="Arial"/>
        </w:rPr>
        <w:t xml:space="preserve"> niż przed rokiem</w:t>
      </w:r>
      <w:r w:rsidR="00763959">
        <w:rPr>
          <w:rFonts w:cs="Arial"/>
        </w:rPr>
        <w:t xml:space="preserve"> </w:t>
      </w:r>
      <w:r w:rsidR="00731C0A" w:rsidRPr="00AF78A1">
        <w:rPr>
          <w:rFonts w:cs="Arial"/>
        </w:rPr>
        <w:t xml:space="preserve">o </w:t>
      </w:r>
      <w:r>
        <w:rPr>
          <w:rFonts w:cs="Arial"/>
        </w:rPr>
        <w:t>4,6</w:t>
      </w:r>
      <w:r w:rsidR="00731C0A" w:rsidRPr="00AF78A1">
        <w:rPr>
          <w:rFonts w:cs="Arial"/>
        </w:rPr>
        <w:t>%.</w:t>
      </w:r>
      <w:r w:rsidR="00E138E8" w:rsidRPr="00AF78A1">
        <w:rPr>
          <w:rFonts w:cs="Arial"/>
        </w:rPr>
        <w:t xml:space="preserve"> </w:t>
      </w:r>
    </w:p>
    <w:p w14:paraId="2092F3C5" w14:textId="77777777" w:rsidR="00B86D61" w:rsidRDefault="00B86D61" w:rsidP="005C39E2">
      <w:pPr>
        <w:spacing w:before="120" w:after="120" w:line="360" w:lineRule="auto"/>
        <w:jc w:val="both"/>
        <w:rPr>
          <w:rFonts w:cs="Arial"/>
        </w:rPr>
      </w:pPr>
    </w:p>
    <w:p w14:paraId="2079EB99" w14:textId="2D868583" w:rsidR="00F775FA" w:rsidRPr="00AF78A1" w:rsidRDefault="0093339D" w:rsidP="00F775FA">
      <w:pPr>
        <w:spacing w:before="120" w:after="120" w:line="360" w:lineRule="auto"/>
        <w:jc w:val="center"/>
        <w:rPr>
          <w:rFonts w:cs="Arial"/>
        </w:rPr>
      </w:pPr>
      <w:r>
        <w:rPr>
          <w:noProof/>
        </w:rPr>
        <w:drawing>
          <wp:inline distT="0" distB="0" distL="0" distR="0" wp14:anchorId="1CBCC730" wp14:editId="113232B0">
            <wp:extent cx="4812507" cy="2762250"/>
            <wp:effectExtent l="0" t="0" r="7620" b="0"/>
            <wp:docPr id="902026315" name="Wykres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F1E0F94" w14:textId="77777777" w:rsidR="00B86D61" w:rsidRDefault="00B86D61" w:rsidP="00B86D61">
      <w:pPr>
        <w:spacing w:before="120" w:after="120" w:line="360" w:lineRule="auto"/>
        <w:jc w:val="both"/>
        <w:rPr>
          <w:rFonts w:cs="Arial"/>
        </w:rPr>
      </w:pPr>
    </w:p>
    <w:p w14:paraId="3CA74D69" w14:textId="0220DED5" w:rsidR="00AE0D34" w:rsidRDefault="00856C3E" w:rsidP="00B86D61">
      <w:pPr>
        <w:spacing w:before="120" w:after="120" w:line="360" w:lineRule="auto"/>
        <w:jc w:val="both"/>
        <w:rPr>
          <w:rFonts w:cs="Arial"/>
        </w:rPr>
      </w:pPr>
      <w:r>
        <w:rPr>
          <w:rFonts w:cs="Arial"/>
        </w:rPr>
        <w:t xml:space="preserve">W ostatnich </w:t>
      </w:r>
      <w:r w:rsidR="00AE0D34">
        <w:rPr>
          <w:rFonts w:cs="Arial"/>
        </w:rPr>
        <w:t>dwunastu</w:t>
      </w:r>
      <w:r>
        <w:rPr>
          <w:rFonts w:cs="Arial"/>
        </w:rPr>
        <w:t xml:space="preserve"> miesiącach </w:t>
      </w:r>
      <w:r w:rsidR="00AE0D34">
        <w:rPr>
          <w:rFonts w:cs="Arial"/>
        </w:rPr>
        <w:t>dominowała ujemna roczna dynamika eksportu. Tak było również w maju i czerwcu</w:t>
      </w:r>
      <w:r w:rsidR="00991D64">
        <w:rPr>
          <w:rFonts w:cs="Arial"/>
        </w:rPr>
        <w:t>, jednak</w:t>
      </w:r>
      <w:r w:rsidR="00AE0D34">
        <w:rPr>
          <w:rFonts w:cs="Arial"/>
        </w:rPr>
        <w:t xml:space="preserve"> lipiec przyniósł przełamanie niekorzystnej tendencji. </w:t>
      </w:r>
      <w:r w:rsidR="00991D64">
        <w:rPr>
          <w:rFonts w:cs="Arial"/>
        </w:rPr>
        <w:t xml:space="preserve">Po chwilowym pogorszeniu w sierpniu </w:t>
      </w:r>
      <w:r w:rsidR="006F2B5B">
        <w:rPr>
          <w:rFonts w:cs="Arial"/>
        </w:rPr>
        <w:t xml:space="preserve">- </w:t>
      </w:r>
      <w:r w:rsidR="00991D64">
        <w:rPr>
          <w:rFonts w:cs="Arial"/>
        </w:rPr>
        <w:t xml:space="preserve">w czterech ostatnich miesiącach roku dynamika eksportu powinna być znów dodatnia. </w:t>
      </w:r>
      <w:r w:rsidR="006B4C6D">
        <w:rPr>
          <w:rFonts w:cs="Arial"/>
        </w:rPr>
        <w:t>Niestety wzrosty te będą wyraźnie słabsze od oczekiwanych jeszcze przed kilkoma miesiącami. W konsekwencji wynik roku 2024 może okazać się niższy od uzyskanego w roku 2023.</w:t>
      </w:r>
    </w:p>
    <w:p w14:paraId="5674BD93" w14:textId="64C92081" w:rsidR="001169AB" w:rsidRDefault="001169AB" w:rsidP="001169AB">
      <w:pPr>
        <w:spacing w:before="120" w:after="120" w:line="360" w:lineRule="auto"/>
        <w:jc w:val="both"/>
        <w:rPr>
          <w:rFonts w:cs="Arial"/>
        </w:rPr>
      </w:pPr>
      <w:r>
        <w:rPr>
          <w:rFonts w:cs="Arial"/>
        </w:rPr>
        <w:t xml:space="preserve">Według danych Narodowego Banku Polskiego w </w:t>
      </w:r>
      <w:r w:rsidR="000D3D10">
        <w:rPr>
          <w:rFonts w:cs="Arial"/>
        </w:rPr>
        <w:t xml:space="preserve">pierwszych </w:t>
      </w:r>
      <w:r w:rsidR="00897C53">
        <w:rPr>
          <w:rFonts w:cs="Arial"/>
        </w:rPr>
        <w:t>ośmiu</w:t>
      </w:r>
      <w:r w:rsidR="000D3D10">
        <w:rPr>
          <w:rFonts w:cs="Arial"/>
        </w:rPr>
        <w:t xml:space="preserve"> miesiącach </w:t>
      </w:r>
      <w:r>
        <w:rPr>
          <w:rFonts w:cs="Arial"/>
        </w:rPr>
        <w:t>202</w:t>
      </w:r>
      <w:r w:rsidR="00DB77C7">
        <w:rPr>
          <w:rFonts w:cs="Arial"/>
        </w:rPr>
        <w:t>4</w:t>
      </w:r>
      <w:r>
        <w:rPr>
          <w:rFonts w:cs="Arial"/>
        </w:rPr>
        <w:t xml:space="preserve"> roku eksport wyniósł </w:t>
      </w:r>
      <w:r w:rsidR="00897C53">
        <w:rPr>
          <w:rFonts w:cs="Arial"/>
        </w:rPr>
        <w:t>218 550</w:t>
      </w:r>
      <w:r>
        <w:rPr>
          <w:rFonts w:cs="Arial"/>
        </w:rPr>
        <w:t xml:space="preserve"> mln EUR i okazał się o </w:t>
      </w:r>
      <w:r w:rsidR="00897C53">
        <w:rPr>
          <w:rFonts w:cs="Arial"/>
        </w:rPr>
        <w:t>2,1</w:t>
      </w:r>
      <w:r>
        <w:rPr>
          <w:rFonts w:cs="Arial"/>
        </w:rPr>
        <w:t xml:space="preserve">% </w:t>
      </w:r>
      <w:r w:rsidR="00DB77C7">
        <w:rPr>
          <w:rFonts w:cs="Arial"/>
        </w:rPr>
        <w:t>mniejszy</w:t>
      </w:r>
      <w:r>
        <w:rPr>
          <w:rFonts w:cs="Arial"/>
        </w:rPr>
        <w:t xml:space="preserve"> niż przed rokiem. Według sprawozdawczości prezentowanej przez Główny Urząd Statystyczny eksport wynosząc </w:t>
      </w:r>
      <w:r w:rsidR="000D3D10">
        <w:rPr>
          <w:rFonts w:cs="Arial"/>
        </w:rPr>
        <w:t xml:space="preserve">w okresie I - </w:t>
      </w:r>
      <w:r w:rsidR="00E35850">
        <w:rPr>
          <w:rFonts w:cs="Arial"/>
        </w:rPr>
        <w:t>V</w:t>
      </w:r>
      <w:r w:rsidR="00AE0D34">
        <w:rPr>
          <w:rFonts w:cs="Arial"/>
        </w:rPr>
        <w:t>I</w:t>
      </w:r>
      <w:r w:rsidR="00991D64">
        <w:rPr>
          <w:rFonts w:cs="Arial"/>
        </w:rPr>
        <w:t>I</w:t>
      </w:r>
      <w:r w:rsidR="00897C53">
        <w:rPr>
          <w:rFonts w:cs="Arial"/>
        </w:rPr>
        <w:t>I</w:t>
      </w:r>
      <w:r w:rsidR="00DB77C7">
        <w:rPr>
          <w:rFonts w:cs="Arial"/>
        </w:rPr>
        <w:t xml:space="preserve"> </w:t>
      </w:r>
      <w:r>
        <w:rPr>
          <w:rFonts w:cs="Arial"/>
        </w:rPr>
        <w:t>202</w:t>
      </w:r>
      <w:r w:rsidR="00DB77C7">
        <w:rPr>
          <w:rFonts w:cs="Arial"/>
        </w:rPr>
        <w:t>4</w:t>
      </w:r>
      <w:r>
        <w:rPr>
          <w:rFonts w:cs="Arial"/>
        </w:rPr>
        <w:t xml:space="preserve"> r. </w:t>
      </w:r>
      <w:r w:rsidR="00991D64">
        <w:rPr>
          <w:rFonts w:cs="Arial"/>
        </w:rPr>
        <w:t>2</w:t>
      </w:r>
      <w:r w:rsidR="00897C53">
        <w:rPr>
          <w:rFonts w:cs="Arial"/>
        </w:rPr>
        <w:t>29</w:t>
      </w:r>
      <w:r w:rsidR="00E35850">
        <w:rPr>
          <w:rFonts w:cs="Arial"/>
        </w:rPr>
        <w:t xml:space="preserve"> </w:t>
      </w:r>
      <w:r w:rsidR="00897C53">
        <w:rPr>
          <w:rFonts w:cs="Arial"/>
        </w:rPr>
        <w:t>6</w:t>
      </w:r>
      <w:r w:rsidR="00E35850">
        <w:rPr>
          <w:rFonts w:cs="Arial"/>
        </w:rPr>
        <w:t>00</w:t>
      </w:r>
      <w:r>
        <w:rPr>
          <w:rFonts w:cs="Arial"/>
        </w:rPr>
        <w:t xml:space="preserve"> mln EUR okazał się </w:t>
      </w:r>
      <w:r w:rsidR="00DB77C7">
        <w:rPr>
          <w:rFonts w:cs="Arial"/>
        </w:rPr>
        <w:t>niższy</w:t>
      </w:r>
      <w:r>
        <w:rPr>
          <w:rFonts w:cs="Arial"/>
        </w:rPr>
        <w:t xml:space="preserve"> niż rok wcześniej o </w:t>
      </w:r>
      <w:r w:rsidR="00991D64">
        <w:rPr>
          <w:rFonts w:cs="Arial"/>
        </w:rPr>
        <w:t>2,</w:t>
      </w:r>
      <w:r w:rsidR="00897C53">
        <w:rPr>
          <w:rFonts w:cs="Arial"/>
        </w:rPr>
        <w:t>2</w:t>
      </w:r>
      <w:r>
        <w:rPr>
          <w:rFonts w:cs="Arial"/>
        </w:rPr>
        <w:t>%.</w:t>
      </w:r>
    </w:p>
    <w:p w14:paraId="116E2D56" w14:textId="2528B76A" w:rsidR="00A90072" w:rsidRDefault="0048342C" w:rsidP="001A67DE">
      <w:pPr>
        <w:spacing w:before="120" w:after="120" w:line="360" w:lineRule="auto"/>
        <w:jc w:val="both"/>
        <w:rPr>
          <w:rFonts w:cs="Arial"/>
        </w:rPr>
      </w:pPr>
      <w:r>
        <w:rPr>
          <w:rFonts w:cs="Arial"/>
        </w:rPr>
        <w:lastRenderedPageBreak/>
        <w:t>W</w:t>
      </w:r>
      <w:r w:rsidR="008A2C15" w:rsidRPr="00557A6A">
        <w:rPr>
          <w:rFonts w:cs="Arial"/>
        </w:rPr>
        <w:t xml:space="preserve"> </w:t>
      </w:r>
      <w:r w:rsidR="00A90072">
        <w:rPr>
          <w:rFonts w:cs="Arial"/>
        </w:rPr>
        <w:t>ostatnich miesiącach</w:t>
      </w:r>
      <w:r w:rsidR="000D3D10">
        <w:rPr>
          <w:rFonts w:cs="Arial"/>
        </w:rPr>
        <w:t xml:space="preserve"> </w:t>
      </w:r>
      <w:r w:rsidR="008A2C15" w:rsidRPr="00557A6A">
        <w:rPr>
          <w:rFonts w:cs="Arial"/>
        </w:rPr>
        <w:t>roku 202</w:t>
      </w:r>
      <w:r w:rsidR="007D1284">
        <w:rPr>
          <w:rFonts w:cs="Arial"/>
        </w:rPr>
        <w:t>4</w:t>
      </w:r>
      <w:r w:rsidR="008A2C15" w:rsidRPr="00557A6A">
        <w:rPr>
          <w:rFonts w:cs="Arial"/>
        </w:rPr>
        <w:t xml:space="preserve"> </w:t>
      </w:r>
      <w:r w:rsidR="00A94375">
        <w:rPr>
          <w:rFonts w:cs="Arial"/>
        </w:rPr>
        <w:t xml:space="preserve">działać powinny </w:t>
      </w:r>
      <w:r w:rsidR="008A2C15" w:rsidRPr="00557A6A">
        <w:rPr>
          <w:rFonts w:cs="Arial"/>
        </w:rPr>
        <w:t xml:space="preserve">czynniki, które </w:t>
      </w:r>
      <w:r w:rsidR="00FE1EAE">
        <w:rPr>
          <w:rFonts w:cs="Arial"/>
        </w:rPr>
        <w:t>sprzyja</w:t>
      </w:r>
      <w:r w:rsidR="00E71154">
        <w:rPr>
          <w:rFonts w:cs="Arial"/>
        </w:rPr>
        <w:t>ją</w:t>
      </w:r>
      <w:r w:rsidR="008A2C15" w:rsidRPr="00557A6A">
        <w:rPr>
          <w:rFonts w:cs="Arial"/>
        </w:rPr>
        <w:t xml:space="preserve"> naszej sprzedaży eksportowej.</w:t>
      </w:r>
      <w:r w:rsidR="008A2C15">
        <w:rPr>
          <w:rFonts w:cs="Arial"/>
        </w:rPr>
        <w:t xml:space="preserve"> </w:t>
      </w:r>
      <w:r w:rsidR="00A90072">
        <w:rPr>
          <w:rFonts w:cs="Arial"/>
        </w:rPr>
        <w:t>W</w:t>
      </w:r>
      <w:r w:rsidR="00CC6A88">
        <w:rPr>
          <w:rFonts w:cs="Arial"/>
        </w:rPr>
        <w:t xml:space="preserve">yczekiwane jest </w:t>
      </w:r>
      <w:r w:rsidR="00A90072">
        <w:rPr>
          <w:rFonts w:cs="Arial"/>
        </w:rPr>
        <w:t xml:space="preserve">zwłaszcza </w:t>
      </w:r>
      <w:r w:rsidR="00CC6A88">
        <w:rPr>
          <w:rFonts w:cs="Arial"/>
        </w:rPr>
        <w:t xml:space="preserve">gospodarcze „ocknięcie” u naszych głównych partnerów handlowych – gdzie poziom koniunktury w roku </w:t>
      </w:r>
      <w:r w:rsidR="007D1284">
        <w:rPr>
          <w:rFonts w:cs="Arial"/>
        </w:rPr>
        <w:t>2023</w:t>
      </w:r>
      <w:r w:rsidR="00CC6A88">
        <w:rPr>
          <w:rFonts w:cs="Arial"/>
        </w:rPr>
        <w:t xml:space="preserve"> </w:t>
      </w:r>
      <w:r w:rsidR="00466D46">
        <w:rPr>
          <w:rFonts w:cs="Arial"/>
        </w:rPr>
        <w:t xml:space="preserve">i początku roku 2024 </w:t>
      </w:r>
      <w:r w:rsidR="005E34AB">
        <w:rPr>
          <w:rFonts w:cs="Arial"/>
        </w:rPr>
        <w:t>był</w:t>
      </w:r>
      <w:r w:rsidR="00CC6A88">
        <w:rPr>
          <w:rFonts w:cs="Arial"/>
        </w:rPr>
        <w:t xml:space="preserve"> bardzo niski. </w:t>
      </w:r>
      <w:r w:rsidR="00A90072">
        <w:rPr>
          <w:rFonts w:cs="Arial"/>
        </w:rPr>
        <w:t>Choć nieco słabiej niż dla lat 2022 – 2023 - to wciąż pozytywnie wspierać będą nasz eksport p</w:t>
      </w:r>
      <w:r w:rsidR="00A90072" w:rsidRPr="00557A6A">
        <w:rPr>
          <w:rFonts w:cs="Arial"/>
        </w:rPr>
        <w:t>erturbacje z łańcuchami dostaw</w:t>
      </w:r>
      <w:r w:rsidR="00A90072">
        <w:rPr>
          <w:rFonts w:cs="Arial"/>
        </w:rPr>
        <w:t>.</w:t>
      </w:r>
      <w:r w:rsidR="00A90072" w:rsidRPr="00557A6A">
        <w:rPr>
          <w:rFonts w:cs="Arial"/>
        </w:rPr>
        <w:t xml:space="preserve"> </w:t>
      </w:r>
      <w:r w:rsidR="00A90072">
        <w:rPr>
          <w:rFonts w:cs="Arial"/>
        </w:rPr>
        <w:t>Skłaniać mogą</w:t>
      </w:r>
      <w:r w:rsidR="00A90072" w:rsidRPr="00557A6A">
        <w:rPr>
          <w:rFonts w:cs="Arial"/>
        </w:rPr>
        <w:t xml:space="preserve"> </w:t>
      </w:r>
      <w:r w:rsidR="00A90072">
        <w:rPr>
          <w:rFonts w:cs="Arial"/>
        </w:rPr>
        <w:t xml:space="preserve">część </w:t>
      </w:r>
      <w:r w:rsidR="00A90072" w:rsidRPr="00557A6A">
        <w:rPr>
          <w:rFonts w:cs="Arial"/>
        </w:rPr>
        <w:t xml:space="preserve">odbiorców ze starych krajów Unii do </w:t>
      </w:r>
      <w:r w:rsidR="00A90072">
        <w:rPr>
          <w:rFonts w:cs="Arial"/>
        </w:rPr>
        <w:t>utrzymywania zamówień u</w:t>
      </w:r>
      <w:r w:rsidR="00A90072" w:rsidRPr="00557A6A">
        <w:rPr>
          <w:rFonts w:cs="Arial"/>
        </w:rPr>
        <w:t xml:space="preserve"> nieodległych dostawców (w miejsce tych z dalekiego</w:t>
      </w:r>
      <w:r w:rsidR="00A90072">
        <w:rPr>
          <w:rFonts w:cs="Arial"/>
        </w:rPr>
        <w:t xml:space="preserve"> wschodu</w:t>
      </w:r>
      <w:r w:rsidR="00A90072" w:rsidRPr="00557A6A">
        <w:rPr>
          <w:rFonts w:cs="Arial"/>
        </w:rPr>
        <w:t>).</w:t>
      </w:r>
      <w:r w:rsidR="00A90072">
        <w:rPr>
          <w:rFonts w:cs="Arial"/>
        </w:rPr>
        <w:t xml:space="preserve"> Mimo ostatniego osłabienia wciąż mocną (w porównaniu do wieloletniej średniej) pozostaje wycena dolara. To premiuje nasz eksport w stosunku do oferty konkurentów z dalekiego wschodu (kalkulujących ceny swoich wyrobów do dolara). Oczywiście efekt ten jest słabszy niż jeszcze kilka kwartałów temu.</w:t>
      </w:r>
    </w:p>
    <w:p w14:paraId="150326D8" w14:textId="77777777" w:rsidR="00E00135" w:rsidRDefault="00E00135" w:rsidP="001A67DE">
      <w:pPr>
        <w:spacing w:before="120" w:after="120" w:line="360" w:lineRule="auto"/>
        <w:jc w:val="both"/>
        <w:rPr>
          <w:rFonts w:cs="Arial"/>
        </w:rPr>
      </w:pPr>
    </w:p>
    <w:p w14:paraId="59ACD562" w14:textId="5CA09018" w:rsidR="00A94375" w:rsidRPr="00A94375" w:rsidRDefault="0093339D" w:rsidP="00A94375">
      <w:pPr>
        <w:spacing w:before="120" w:after="120" w:line="360" w:lineRule="auto"/>
        <w:jc w:val="center"/>
        <w:rPr>
          <w:rFonts w:cs="Arial"/>
          <w:highlight w:val="yellow"/>
        </w:rPr>
      </w:pPr>
      <w:r>
        <w:rPr>
          <w:noProof/>
        </w:rPr>
        <w:drawing>
          <wp:inline distT="0" distB="0" distL="0" distR="0" wp14:anchorId="16C4C662" wp14:editId="15FB6A08">
            <wp:extent cx="4886325" cy="3143250"/>
            <wp:effectExtent l="0" t="0" r="9525" b="0"/>
            <wp:docPr id="497553491" name="Wykres 1">
              <a:extLst xmlns:a="http://schemas.openxmlformats.org/drawingml/2006/main">
                <a:ext uri="{FF2B5EF4-FFF2-40B4-BE49-F238E27FC236}">
                  <a16:creationId xmlns:a16="http://schemas.microsoft.com/office/drawing/2014/main" id="{B669260E-75A4-E5EA-D0A6-9CC2F25EE85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0819D81" w14:textId="77777777" w:rsidR="00DB77C7" w:rsidRDefault="00DB77C7" w:rsidP="00EB423E">
      <w:pPr>
        <w:spacing w:before="120" w:after="120" w:line="360" w:lineRule="auto"/>
        <w:jc w:val="both"/>
        <w:rPr>
          <w:rFonts w:cs="Arial"/>
        </w:rPr>
      </w:pPr>
    </w:p>
    <w:p w14:paraId="122958BB" w14:textId="070F5DEA" w:rsidR="004E4418" w:rsidRDefault="00287AA2" w:rsidP="00EB423E">
      <w:pPr>
        <w:spacing w:before="120" w:after="120" w:line="360" w:lineRule="auto"/>
        <w:jc w:val="both"/>
        <w:rPr>
          <w:rFonts w:cs="Arial"/>
        </w:rPr>
      </w:pPr>
      <w:r>
        <w:rPr>
          <w:rFonts w:cs="Arial"/>
        </w:rPr>
        <w:t xml:space="preserve">W średnioterminowej perspektywie </w:t>
      </w:r>
      <w:r w:rsidR="00A90072">
        <w:rPr>
          <w:rFonts w:cs="Arial"/>
        </w:rPr>
        <w:t>oczekiwany</w:t>
      </w:r>
      <w:r w:rsidR="00B90494">
        <w:rPr>
          <w:rFonts w:cs="Arial"/>
        </w:rPr>
        <w:t xml:space="preserve"> </w:t>
      </w:r>
      <w:r>
        <w:rPr>
          <w:rFonts w:cs="Arial"/>
        </w:rPr>
        <w:t>jest</w:t>
      </w:r>
      <w:r w:rsidR="00A90072">
        <w:rPr>
          <w:rFonts w:cs="Arial"/>
        </w:rPr>
        <w:t xml:space="preserve"> </w:t>
      </w:r>
      <w:r w:rsidR="00B93944" w:rsidRPr="00557A6A">
        <w:rPr>
          <w:rFonts w:cs="Arial"/>
        </w:rPr>
        <w:t xml:space="preserve">w Europie </w:t>
      </w:r>
      <w:r w:rsidR="00A90072">
        <w:rPr>
          <w:rFonts w:cs="Arial"/>
        </w:rPr>
        <w:t xml:space="preserve">wzrost </w:t>
      </w:r>
      <w:r w:rsidR="00B93944" w:rsidRPr="00557A6A">
        <w:rPr>
          <w:rFonts w:cs="Arial"/>
        </w:rPr>
        <w:t>popyt</w:t>
      </w:r>
      <w:r w:rsidR="00A90072">
        <w:rPr>
          <w:rFonts w:cs="Arial"/>
        </w:rPr>
        <w:t>u</w:t>
      </w:r>
      <w:r w:rsidR="00B93944" w:rsidRPr="00557A6A">
        <w:rPr>
          <w:rFonts w:cs="Arial"/>
        </w:rPr>
        <w:t xml:space="preserve"> związany ze wzmacnianiem obronności i odporności państw. </w:t>
      </w:r>
      <w:r w:rsidR="000E1B07">
        <w:rPr>
          <w:rFonts w:cs="Arial"/>
        </w:rPr>
        <w:t>D</w:t>
      </w:r>
      <w:r w:rsidR="00682FD6">
        <w:rPr>
          <w:rFonts w:cs="Arial"/>
        </w:rPr>
        <w:t>la nas szczególne znaczenie będzie miał wzrost p</w:t>
      </w:r>
      <w:r w:rsidR="00B93944" w:rsidRPr="00557A6A">
        <w:rPr>
          <w:rFonts w:cs="Arial"/>
        </w:rPr>
        <w:t>opyt</w:t>
      </w:r>
      <w:r w:rsidR="00E33959">
        <w:rPr>
          <w:rFonts w:cs="Arial"/>
        </w:rPr>
        <w:t>u</w:t>
      </w:r>
      <w:r w:rsidR="00B93944" w:rsidRPr="00557A6A">
        <w:rPr>
          <w:rFonts w:cs="Arial"/>
        </w:rPr>
        <w:t xml:space="preserve"> na </w:t>
      </w:r>
      <w:r w:rsidR="00682FD6">
        <w:rPr>
          <w:rFonts w:cs="Arial"/>
        </w:rPr>
        <w:t>zwiększenie</w:t>
      </w:r>
      <w:r w:rsidR="00B93944" w:rsidRPr="00557A6A">
        <w:rPr>
          <w:rFonts w:cs="Arial"/>
        </w:rPr>
        <w:t xml:space="preserve"> odporności</w:t>
      </w:r>
      <w:r w:rsidR="00682FD6">
        <w:rPr>
          <w:rFonts w:cs="Arial"/>
        </w:rPr>
        <w:t xml:space="preserve">. Wszak jest on </w:t>
      </w:r>
      <w:r w:rsidR="00B93944" w:rsidRPr="00557A6A">
        <w:rPr>
          <w:rFonts w:cs="Arial"/>
        </w:rPr>
        <w:t xml:space="preserve">generowany </w:t>
      </w:r>
      <w:r w:rsidR="00682FD6">
        <w:rPr>
          <w:rFonts w:cs="Arial"/>
        </w:rPr>
        <w:t>bardzo szeroko</w:t>
      </w:r>
      <w:r w:rsidR="00FE1EAE">
        <w:rPr>
          <w:rFonts w:cs="Arial"/>
        </w:rPr>
        <w:t xml:space="preserve"> </w:t>
      </w:r>
      <w:r w:rsidR="00682FD6">
        <w:rPr>
          <w:rFonts w:cs="Arial"/>
        </w:rPr>
        <w:t xml:space="preserve">- </w:t>
      </w:r>
      <w:r w:rsidR="00FE1EAE">
        <w:rPr>
          <w:rFonts w:cs="Arial"/>
        </w:rPr>
        <w:t xml:space="preserve">nie </w:t>
      </w:r>
      <w:r w:rsidR="00B93944" w:rsidRPr="00557A6A">
        <w:rPr>
          <w:rFonts w:cs="Arial"/>
        </w:rPr>
        <w:lastRenderedPageBreak/>
        <w:t>tylko na poziomie administracji państw, ale również poszczególnych przedsiębiorstw i gospodarstw domowych</w:t>
      </w:r>
      <w:r w:rsidR="00682FD6">
        <w:rPr>
          <w:rFonts w:cs="Arial"/>
        </w:rPr>
        <w:t xml:space="preserve">. W dodatku jest to popyt </w:t>
      </w:r>
      <w:r w:rsidR="00767D07">
        <w:rPr>
          <w:rFonts w:cs="Arial"/>
        </w:rPr>
        <w:t>na</w:t>
      </w:r>
      <w:r w:rsidR="00682FD6">
        <w:rPr>
          <w:rFonts w:cs="Arial"/>
        </w:rPr>
        <w:t xml:space="preserve"> bardzo wiel</w:t>
      </w:r>
      <w:r w:rsidR="00767D07">
        <w:rPr>
          <w:rFonts w:cs="Arial"/>
        </w:rPr>
        <w:t>e rodzajów</w:t>
      </w:r>
      <w:r w:rsidR="00682FD6">
        <w:rPr>
          <w:rFonts w:cs="Arial"/>
        </w:rPr>
        <w:t xml:space="preserve"> wyrobów</w:t>
      </w:r>
      <w:r w:rsidR="00B93944" w:rsidRPr="00557A6A">
        <w:rPr>
          <w:rFonts w:cs="Arial"/>
        </w:rPr>
        <w:t xml:space="preserve"> – a to zwiększ</w:t>
      </w:r>
      <w:r w:rsidR="006640F7">
        <w:rPr>
          <w:rFonts w:cs="Arial"/>
        </w:rPr>
        <w:t>a</w:t>
      </w:r>
      <w:r>
        <w:rPr>
          <w:rFonts w:cs="Arial"/>
        </w:rPr>
        <w:t xml:space="preserve"> </w:t>
      </w:r>
      <w:r w:rsidR="00B93944" w:rsidRPr="00557A6A">
        <w:rPr>
          <w:rFonts w:cs="Arial"/>
        </w:rPr>
        <w:t xml:space="preserve">poziom zamówień </w:t>
      </w:r>
      <w:r w:rsidR="00767D07">
        <w:rPr>
          <w:rFonts w:cs="Arial"/>
        </w:rPr>
        <w:t>dla</w:t>
      </w:r>
      <w:r w:rsidR="00B93944" w:rsidRPr="00557A6A">
        <w:rPr>
          <w:rFonts w:cs="Arial"/>
        </w:rPr>
        <w:t xml:space="preserve"> naszej gospodarki. </w:t>
      </w:r>
    </w:p>
    <w:p w14:paraId="4C8DF8E8" w14:textId="77777777" w:rsidR="005C39E2" w:rsidRDefault="005C39E2" w:rsidP="00EB423E">
      <w:pPr>
        <w:spacing w:before="120" w:after="120" w:line="360" w:lineRule="auto"/>
        <w:jc w:val="both"/>
        <w:rPr>
          <w:rFonts w:cs="Arial"/>
        </w:rPr>
      </w:pPr>
    </w:p>
    <w:p w14:paraId="1B6629B9" w14:textId="77777777" w:rsidR="00E00135" w:rsidRPr="00557A6A" w:rsidRDefault="00E00135" w:rsidP="00EB423E">
      <w:pPr>
        <w:spacing w:before="120" w:after="120" w:line="360" w:lineRule="auto"/>
        <w:jc w:val="both"/>
        <w:rPr>
          <w:rFonts w:cs="Arial"/>
        </w:rPr>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06"/>
        <w:gridCol w:w="1418"/>
        <w:gridCol w:w="1417"/>
        <w:gridCol w:w="1418"/>
      </w:tblGrid>
      <w:tr w:rsidR="00E71154" w:rsidRPr="00557A6A" w14:paraId="036FF603" w14:textId="77777777" w:rsidTr="007B04CD">
        <w:trPr>
          <w:trHeight w:val="268"/>
          <w:jc w:val="center"/>
        </w:trPr>
        <w:tc>
          <w:tcPr>
            <w:tcW w:w="4106" w:type="dxa"/>
            <w:shd w:val="clear" w:color="auto" w:fill="auto"/>
            <w:noWrap/>
            <w:vAlign w:val="bottom"/>
            <w:hideMark/>
          </w:tcPr>
          <w:p w14:paraId="11D661BF" w14:textId="43BE3F05" w:rsidR="00E71154" w:rsidRPr="00557A6A" w:rsidRDefault="00E71154" w:rsidP="00E71154">
            <w:pPr>
              <w:rPr>
                <w:rFonts w:cs="Arial"/>
                <w:sz w:val="20"/>
              </w:rPr>
            </w:pPr>
            <w:r w:rsidRPr="00557A6A">
              <w:rPr>
                <w:rFonts w:cs="Arial"/>
                <w:sz w:val="20"/>
              </w:rPr>
              <w:t>Zmiany eksportu</w:t>
            </w:r>
          </w:p>
        </w:tc>
        <w:tc>
          <w:tcPr>
            <w:tcW w:w="1418" w:type="dxa"/>
          </w:tcPr>
          <w:p w14:paraId="5D533A49" w14:textId="30880D70" w:rsidR="00E71154" w:rsidRPr="00557A6A" w:rsidRDefault="00E71154" w:rsidP="00E71154">
            <w:pPr>
              <w:jc w:val="right"/>
              <w:rPr>
                <w:rFonts w:cs="Arial"/>
                <w:sz w:val="20"/>
              </w:rPr>
            </w:pPr>
            <w:r w:rsidRPr="00557A6A">
              <w:rPr>
                <w:sz w:val="20"/>
              </w:rPr>
              <w:t>202</w:t>
            </w:r>
            <w:r w:rsidR="00A94375">
              <w:rPr>
                <w:sz w:val="20"/>
              </w:rPr>
              <w:t>3</w:t>
            </w:r>
          </w:p>
        </w:tc>
        <w:tc>
          <w:tcPr>
            <w:tcW w:w="1417" w:type="dxa"/>
          </w:tcPr>
          <w:p w14:paraId="571EA291" w14:textId="630BE9F6" w:rsidR="00E71154" w:rsidRPr="00557A6A" w:rsidRDefault="00E71154" w:rsidP="00E71154">
            <w:pPr>
              <w:jc w:val="right"/>
              <w:rPr>
                <w:rFonts w:cs="Arial"/>
                <w:sz w:val="20"/>
              </w:rPr>
            </w:pPr>
            <w:r w:rsidRPr="00557A6A">
              <w:rPr>
                <w:sz w:val="20"/>
              </w:rPr>
              <w:t>202</w:t>
            </w:r>
            <w:r w:rsidR="00A94375">
              <w:rPr>
                <w:sz w:val="20"/>
              </w:rPr>
              <w:t>4</w:t>
            </w:r>
            <w:r w:rsidRPr="00557A6A">
              <w:rPr>
                <w:sz w:val="20"/>
              </w:rPr>
              <w:t xml:space="preserve"> (</w:t>
            </w:r>
            <w:r w:rsidR="00A94375">
              <w:rPr>
                <w:sz w:val="20"/>
              </w:rPr>
              <w:t>prog.</w:t>
            </w:r>
            <w:r w:rsidRPr="00557A6A">
              <w:rPr>
                <w:sz w:val="20"/>
              </w:rPr>
              <w:t>)</w:t>
            </w:r>
          </w:p>
        </w:tc>
        <w:tc>
          <w:tcPr>
            <w:tcW w:w="1418" w:type="dxa"/>
          </w:tcPr>
          <w:p w14:paraId="39C22C2D" w14:textId="4910F0D9" w:rsidR="00E71154" w:rsidRPr="00557A6A" w:rsidRDefault="00E71154" w:rsidP="00E71154">
            <w:pPr>
              <w:jc w:val="right"/>
              <w:rPr>
                <w:sz w:val="20"/>
              </w:rPr>
            </w:pPr>
            <w:r w:rsidRPr="00557A6A">
              <w:rPr>
                <w:sz w:val="20"/>
              </w:rPr>
              <w:t>202</w:t>
            </w:r>
            <w:r w:rsidR="00A94375">
              <w:rPr>
                <w:sz w:val="20"/>
              </w:rPr>
              <w:t>5</w:t>
            </w:r>
            <w:r w:rsidRPr="00557A6A">
              <w:rPr>
                <w:sz w:val="20"/>
              </w:rPr>
              <w:t xml:space="preserve"> (prog.)</w:t>
            </w:r>
          </w:p>
        </w:tc>
      </w:tr>
      <w:tr w:rsidR="00A94375" w:rsidRPr="00557A6A" w14:paraId="5A3EB33E" w14:textId="77777777" w:rsidTr="007B04CD">
        <w:trPr>
          <w:trHeight w:val="268"/>
          <w:jc w:val="center"/>
        </w:trPr>
        <w:tc>
          <w:tcPr>
            <w:tcW w:w="4106" w:type="dxa"/>
            <w:shd w:val="clear" w:color="auto" w:fill="auto"/>
            <w:noWrap/>
            <w:vAlign w:val="bottom"/>
            <w:hideMark/>
          </w:tcPr>
          <w:p w14:paraId="793D762D" w14:textId="77777777" w:rsidR="00A94375" w:rsidRPr="00557A6A" w:rsidRDefault="00A94375" w:rsidP="00A94375">
            <w:pPr>
              <w:rPr>
                <w:rFonts w:cs="Arial"/>
                <w:sz w:val="20"/>
              </w:rPr>
            </w:pPr>
            <w:r w:rsidRPr="00557A6A">
              <w:rPr>
                <w:rFonts w:cs="Arial"/>
                <w:sz w:val="20"/>
              </w:rPr>
              <w:t>Eksport ogółem</w:t>
            </w:r>
          </w:p>
        </w:tc>
        <w:tc>
          <w:tcPr>
            <w:tcW w:w="1418" w:type="dxa"/>
          </w:tcPr>
          <w:p w14:paraId="7C779DF7" w14:textId="438E3ACF" w:rsidR="00A94375" w:rsidRPr="00557A6A" w:rsidRDefault="00A94375" w:rsidP="00A94375">
            <w:pPr>
              <w:jc w:val="right"/>
              <w:rPr>
                <w:rFonts w:cs="Arial"/>
                <w:sz w:val="20"/>
              </w:rPr>
            </w:pPr>
            <w:r>
              <w:rPr>
                <w:sz w:val="20"/>
              </w:rPr>
              <w:t>3,</w:t>
            </w:r>
            <w:r w:rsidR="002D056E">
              <w:rPr>
                <w:sz w:val="20"/>
              </w:rPr>
              <w:t>5</w:t>
            </w:r>
            <w:r w:rsidRPr="00557A6A">
              <w:rPr>
                <w:sz w:val="20"/>
              </w:rPr>
              <w:t>%</w:t>
            </w:r>
          </w:p>
        </w:tc>
        <w:tc>
          <w:tcPr>
            <w:tcW w:w="1417" w:type="dxa"/>
          </w:tcPr>
          <w:p w14:paraId="7A17ADB1" w14:textId="53E05094" w:rsidR="00A94375" w:rsidRPr="00557A6A" w:rsidRDefault="002D056E" w:rsidP="00A94375">
            <w:pPr>
              <w:jc w:val="right"/>
              <w:rPr>
                <w:rFonts w:cs="Arial"/>
                <w:sz w:val="20"/>
              </w:rPr>
            </w:pPr>
            <w:r>
              <w:rPr>
                <w:sz w:val="20"/>
              </w:rPr>
              <w:t>-0,7</w:t>
            </w:r>
            <w:r w:rsidR="00A94375" w:rsidRPr="00557A6A">
              <w:rPr>
                <w:sz w:val="20"/>
              </w:rPr>
              <w:t>%</w:t>
            </w:r>
          </w:p>
        </w:tc>
        <w:tc>
          <w:tcPr>
            <w:tcW w:w="1418" w:type="dxa"/>
          </w:tcPr>
          <w:p w14:paraId="62BB3B36" w14:textId="29635C02" w:rsidR="00A94375" w:rsidRPr="00557A6A" w:rsidRDefault="002D056E" w:rsidP="00A94375">
            <w:pPr>
              <w:jc w:val="right"/>
              <w:rPr>
                <w:sz w:val="20"/>
              </w:rPr>
            </w:pPr>
            <w:r>
              <w:rPr>
                <w:sz w:val="20"/>
              </w:rPr>
              <w:t>8,5</w:t>
            </w:r>
            <w:r w:rsidR="00A94375" w:rsidRPr="00557A6A">
              <w:rPr>
                <w:sz w:val="20"/>
              </w:rPr>
              <w:t>%</w:t>
            </w:r>
          </w:p>
        </w:tc>
      </w:tr>
      <w:tr w:rsidR="00A94375" w:rsidRPr="00557A6A" w14:paraId="1508415C" w14:textId="77777777" w:rsidTr="007B04CD">
        <w:trPr>
          <w:trHeight w:val="268"/>
          <w:jc w:val="center"/>
        </w:trPr>
        <w:tc>
          <w:tcPr>
            <w:tcW w:w="4106" w:type="dxa"/>
            <w:shd w:val="clear" w:color="auto" w:fill="auto"/>
            <w:noWrap/>
            <w:vAlign w:val="bottom"/>
            <w:hideMark/>
          </w:tcPr>
          <w:p w14:paraId="326F2D29" w14:textId="77777777" w:rsidR="00A94375" w:rsidRPr="00557A6A" w:rsidRDefault="00A94375" w:rsidP="00A94375">
            <w:pPr>
              <w:rPr>
                <w:rFonts w:cs="Arial"/>
                <w:sz w:val="20"/>
              </w:rPr>
            </w:pPr>
            <w:r w:rsidRPr="00557A6A">
              <w:rPr>
                <w:rFonts w:cs="Arial"/>
                <w:sz w:val="20"/>
              </w:rPr>
              <w:t>Niemcy</w:t>
            </w:r>
          </w:p>
        </w:tc>
        <w:tc>
          <w:tcPr>
            <w:tcW w:w="1418" w:type="dxa"/>
          </w:tcPr>
          <w:p w14:paraId="13A409F4" w14:textId="5E351099" w:rsidR="00A94375" w:rsidRPr="00557A6A" w:rsidRDefault="00A94375" w:rsidP="00A94375">
            <w:pPr>
              <w:jc w:val="right"/>
              <w:rPr>
                <w:rFonts w:cs="Arial"/>
                <w:sz w:val="20"/>
              </w:rPr>
            </w:pPr>
            <w:r>
              <w:rPr>
                <w:sz w:val="20"/>
              </w:rPr>
              <w:t>3,</w:t>
            </w:r>
            <w:r w:rsidR="002D056E">
              <w:rPr>
                <w:sz w:val="20"/>
              </w:rPr>
              <w:t>6</w:t>
            </w:r>
            <w:r w:rsidRPr="00557A6A">
              <w:rPr>
                <w:sz w:val="20"/>
              </w:rPr>
              <w:t>%</w:t>
            </w:r>
          </w:p>
        </w:tc>
        <w:tc>
          <w:tcPr>
            <w:tcW w:w="1417" w:type="dxa"/>
          </w:tcPr>
          <w:p w14:paraId="3F28BB33" w14:textId="7619D2E8" w:rsidR="00A94375" w:rsidRPr="00557A6A" w:rsidRDefault="00E351BA" w:rsidP="00A94375">
            <w:pPr>
              <w:jc w:val="right"/>
              <w:rPr>
                <w:rFonts w:cs="Arial"/>
                <w:sz w:val="20"/>
              </w:rPr>
            </w:pPr>
            <w:r>
              <w:rPr>
                <w:sz w:val="20"/>
              </w:rPr>
              <w:t>-</w:t>
            </w:r>
            <w:r w:rsidR="002D056E">
              <w:rPr>
                <w:sz w:val="20"/>
              </w:rPr>
              <w:t>3,8</w:t>
            </w:r>
            <w:r w:rsidR="00A94375" w:rsidRPr="00557A6A">
              <w:rPr>
                <w:sz w:val="20"/>
              </w:rPr>
              <w:t>%</w:t>
            </w:r>
          </w:p>
        </w:tc>
        <w:tc>
          <w:tcPr>
            <w:tcW w:w="1418" w:type="dxa"/>
          </w:tcPr>
          <w:p w14:paraId="52AB7331" w14:textId="4E1C37DD" w:rsidR="00A94375" w:rsidRPr="00557A6A" w:rsidRDefault="002D056E" w:rsidP="00A94375">
            <w:pPr>
              <w:jc w:val="right"/>
              <w:rPr>
                <w:sz w:val="20"/>
              </w:rPr>
            </w:pPr>
            <w:r>
              <w:rPr>
                <w:sz w:val="20"/>
              </w:rPr>
              <w:t>8,1</w:t>
            </w:r>
            <w:r w:rsidR="00A94375" w:rsidRPr="00557A6A">
              <w:rPr>
                <w:sz w:val="20"/>
              </w:rPr>
              <w:t>%</w:t>
            </w:r>
          </w:p>
        </w:tc>
      </w:tr>
      <w:tr w:rsidR="00A94375" w:rsidRPr="00557A6A" w14:paraId="6F0C5C6E" w14:textId="77777777" w:rsidTr="007B04CD">
        <w:trPr>
          <w:trHeight w:val="268"/>
          <w:jc w:val="center"/>
        </w:trPr>
        <w:tc>
          <w:tcPr>
            <w:tcW w:w="4106" w:type="dxa"/>
            <w:shd w:val="clear" w:color="auto" w:fill="auto"/>
            <w:noWrap/>
            <w:vAlign w:val="bottom"/>
            <w:hideMark/>
          </w:tcPr>
          <w:p w14:paraId="78C03159" w14:textId="77777777" w:rsidR="00A94375" w:rsidRPr="00557A6A" w:rsidRDefault="00A94375" w:rsidP="00A94375">
            <w:pPr>
              <w:rPr>
                <w:rFonts w:cs="Arial"/>
                <w:sz w:val="20"/>
              </w:rPr>
            </w:pPr>
            <w:r w:rsidRPr="00557A6A">
              <w:rPr>
                <w:rFonts w:cs="Arial"/>
                <w:sz w:val="20"/>
              </w:rPr>
              <w:t>Pozostałe kraje strefy euro</w:t>
            </w:r>
          </w:p>
        </w:tc>
        <w:tc>
          <w:tcPr>
            <w:tcW w:w="1418" w:type="dxa"/>
          </w:tcPr>
          <w:p w14:paraId="0D140C52" w14:textId="7F683A85" w:rsidR="00A94375" w:rsidRPr="00557A6A" w:rsidRDefault="00A94375" w:rsidP="00A94375">
            <w:pPr>
              <w:jc w:val="right"/>
              <w:rPr>
                <w:rFonts w:cs="Arial"/>
                <w:sz w:val="20"/>
              </w:rPr>
            </w:pPr>
            <w:r>
              <w:rPr>
                <w:sz w:val="20"/>
              </w:rPr>
              <w:t>2,</w:t>
            </w:r>
            <w:r w:rsidR="002D056E">
              <w:rPr>
                <w:sz w:val="20"/>
              </w:rPr>
              <w:t>4</w:t>
            </w:r>
            <w:r w:rsidRPr="00557A6A">
              <w:rPr>
                <w:sz w:val="20"/>
              </w:rPr>
              <w:t>%</w:t>
            </w:r>
          </w:p>
        </w:tc>
        <w:tc>
          <w:tcPr>
            <w:tcW w:w="1417" w:type="dxa"/>
          </w:tcPr>
          <w:p w14:paraId="29088F4E" w14:textId="1AA3F39F" w:rsidR="00A94375" w:rsidRPr="00557A6A" w:rsidRDefault="002D056E" w:rsidP="00A94375">
            <w:pPr>
              <w:jc w:val="right"/>
              <w:rPr>
                <w:rFonts w:cs="Arial"/>
                <w:sz w:val="20"/>
              </w:rPr>
            </w:pPr>
            <w:r>
              <w:rPr>
                <w:sz w:val="20"/>
              </w:rPr>
              <w:t>-1,3</w:t>
            </w:r>
            <w:r w:rsidR="00A94375" w:rsidRPr="00557A6A">
              <w:rPr>
                <w:sz w:val="20"/>
              </w:rPr>
              <w:t>%</w:t>
            </w:r>
          </w:p>
        </w:tc>
        <w:tc>
          <w:tcPr>
            <w:tcW w:w="1418" w:type="dxa"/>
          </w:tcPr>
          <w:p w14:paraId="3B5970D6" w14:textId="24F0528F" w:rsidR="00A94375" w:rsidRPr="00557A6A" w:rsidRDefault="002D056E" w:rsidP="00A94375">
            <w:pPr>
              <w:jc w:val="right"/>
              <w:rPr>
                <w:sz w:val="20"/>
              </w:rPr>
            </w:pPr>
            <w:r>
              <w:rPr>
                <w:sz w:val="20"/>
              </w:rPr>
              <w:t>8</w:t>
            </w:r>
            <w:r w:rsidR="00E351BA">
              <w:rPr>
                <w:sz w:val="20"/>
              </w:rPr>
              <w:t>,</w:t>
            </w:r>
            <w:r w:rsidR="000B3169">
              <w:rPr>
                <w:sz w:val="20"/>
              </w:rPr>
              <w:t>7</w:t>
            </w:r>
            <w:r w:rsidR="00A94375" w:rsidRPr="00557A6A">
              <w:rPr>
                <w:sz w:val="20"/>
              </w:rPr>
              <w:t>%</w:t>
            </w:r>
          </w:p>
        </w:tc>
      </w:tr>
      <w:tr w:rsidR="00A94375" w:rsidRPr="00557A6A" w14:paraId="48C387EF" w14:textId="77777777" w:rsidTr="007B04CD">
        <w:trPr>
          <w:trHeight w:val="268"/>
          <w:jc w:val="center"/>
        </w:trPr>
        <w:tc>
          <w:tcPr>
            <w:tcW w:w="4106" w:type="dxa"/>
            <w:shd w:val="clear" w:color="auto" w:fill="auto"/>
            <w:noWrap/>
            <w:vAlign w:val="bottom"/>
            <w:hideMark/>
          </w:tcPr>
          <w:p w14:paraId="4842C83E" w14:textId="77777777" w:rsidR="00A94375" w:rsidRPr="00557A6A" w:rsidRDefault="00A94375" w:rsidP="00A94375">
            <w:pPr>
              <w:rPr>
                <w:rFonts w:cs="Arial"/>
                <w:sz w:val="20"/>
              </w:rPr>
            </w:pPr>
            <w:r w:rsidRPr="00557A6A">
              <w:rPr>
                <w:rFonts w:cs="Arial"/>
                <w:sz w:val="20"/>
              </w:rPr>
              <w:t>Kraje UE nie będące w strefie euro</w:t>
            </w:r>
          </w:p>
        </w:tc>
        <w:tc>
          <w:tcPr>
            <w:tcW w:w="1418" w:type="dxa"/>
          </w:tcPr>
          <w:p w14:paraId="2CB749DF" w14:textId="25F0A040" w:rsidR="00A94375" w:rsidRPr="00557A6A" w:rsidRDefault="00A94375" w:rsidP="00A94375">
            <w:pPr>
              <w:jc w:val="right"/>
              <w:rPr>
                <w:rFonts w:cs="Arial"/>
                <w:sz w:val="20"/>
              </w:rPr>
            </w:pPr>
            <w:r>
              <w:rPr>
                <w:sz w:val="20"/>
              </w:rPr>
              <w:t>-1,</w:t>
            </w:r>
            <w:r w:rsidR="002D056E">
              <w:rPr>
                <w:sz w:val="20"/>
              </w:rPr>
              <w:t>8</w:t>
            </w:r>
            <w:r w:rsidRPr="00557A6A">
              <w:rPr>
                <w:sz w:val="20"/>
              </w:rPr>
              <w:t>%</w:t>
            </w:r>
          </w:p>
        </w:tc>
        <w:tc>
          <w:tcPr>
            <w:tcW w:w="1417" w:type="dxa"/>
          </w:tcPr>
          <w:p w14:paraId="51E1B7BA" w14:textId="5752B489" w:rsidR="00A94375" w:rsidRPr="00557A6A" w:rsidRDefault="002D056E" w:rsidP="00A94375">
            <w:pPr>
              <w:jc w:val="right"/>
              <w:rPr>
                <w:rFonts w:cs="Arial"/>
                <w:sz w:val="20"/>
              </w:rPr>
            </w:pPr>
            <w:r>
              <w:rPr>
                <w:sz w:val="20"/>
              </w:rPr>
              <w:t>-0,8</w:t>
            </w:r>
            <w:r w:rsidR="00A94375" w:rsidRPr="00557A6A">
              <w:rPr>
                <w:sz w:val="20"/>
              </w:rPr>
              <w:t>%</w:t>
            </w:r>
          </w:p>
        </w:tc>
        <w:tc>
          <w:tcPr>
            <w:tcW w:w="1418" w:type="dxa"/>
          </w:tcPr>
          <w:p w14:paraId="54624A45" w14:textId="4524B3AE" w:rsidR="00A94375" w:rsidRPr="00557A6A" w:rsidRDefault="002D056E" w:rsidP="00A94375">
            <w:pPr>
              <w:jc w:val="right"/>
              <w:rPr>
                <w:sz w:val="20"/>
              </w:rPr>
            </w:pPr>
            <w:r>
              <w:rPr>
                <w:sz w:val="20"/>
              </w:rPr>
              <w:t>9,0</w:t>
            </w:r>
            <w:r w:rsidR="00A94375" w:rsidRPr="00557A6A">
              <w:rPr>
                <w:sz w:val="20"/>
              </w:rPr>
              <w:t>%</w:t>
            </w:r>
          </w:p>
        </w:tc>
      </w:tr>
      <w:tr w:rsidR="00A94375" w:rsidRPr="00557A6A" w14:paraId="525D7DF7" w14:textId="77777777" w:rsidTr="007B04CD">
        <w:trPr>
          <w:trHeight w:val="268"/>
          <w:jc w:val="center"/>
        </w:trPr>
        <w:tc>
          <w:tcPr>
            <w:tcW w:w="4106" w:type="dxa"/>
            <w:shd w:val="clear" w:color="auto" w:fill="auto"/>
            <w:noWrap/>
            <w:vAlign w:val="bottom"/>
            <w:hideMark/>
          </w:tcPr>
          <w:p w14:paraId="1042AC13" w14:textId="77777777" w:rsidR="00A94375" w:rsidRPr="00557A6A" w:rsidRDefault="00A94375" w:rsidP="00A94375">
            <w:pPr>
              <w:rPr>
                <w:rFonts w:cs="Arial"/>
                <w:sz w:val="20"/>
              </w:rPr>
            </w:pPr>
            <w:r w:rsidRPr="00557A6A">
              <w:rPr>
                <w:rFonts w:cs="Arial"/>
                <w:sz w:val="20"/>
              </w:rPr>
              <w:t>Pozostałe kraje rozwinięte</w:t>
            </w:r>
          </w:p>
        </w:tc>
        <w:tc>
          <w:tcPr>
            <w:tcW w:w="1418" w:type="dxa"/>
          </w:tcPr>
          <w:p w14:paraId="39244CEF" w14:textId="2F2FFEB2" w:rsidR="00A94375" w:rsidRPr="00557A6A" w:rsidRDefault="00A94375" w:rsidP="00A94375">
            <w:pPr>
              <w:jc w:val="right"/>
              <w:rPr>
                <w:rFonts w:cs="Arial"/>
                <w:sz w:val="20"/>
              </w:rPr>
            </w:pPr>
            <w:r>
              <w:rPr>
                <w:sz w:val="20"/>
              </w:rPr>
              <w:t>6,</w:t>
            </w:r>
            <w:r w:rsidR="002D056E">
              <w:rPr>
                <w:sz w:val="20"/>
              </w:rPr>
              <w:t>7</w:t>
            </w:r>
            <w:r w:rsidRPr="00557A6A">
              <w:rPr>
                <w:sz w:val="20"/>
              </w:rPr>
              <w:t>%</w:t>
            </w:r>
          </w:p>
        </w:tc>
        <w:tc>
          <w:tcPr>
            <w:tcW w:w="1417" w:type="dxa"/>
          </w:tcPr>
          <w:p w14:paraId="7B32F781" w14:textId="532FA710" w:rsidR="00A94375" w:rsidRPr="00557A6A" w:rsidRDefault="00E351BA" w:rsidP="00A94375">
            <w:pPr>
              <w:jc w:val="right"/>
              <w:rPr>
                <w:rFonts w:cs="Arial"/>
                <w:sz w:val="20"/>
              </w:rPr>
            </w:pPr>
            <w:r>
              <w:rPr>
                <w:sz w:val="20"/>
              </w:rPr>
              <w:t>5,</w:t>
            </w:r>
            <w:r w:rsidR="002D056E">
              <w:rPr>
                <w:sz w:val="20"/>
              </w:rPr>
              <w:t>0</w:t>
            </w:r>
            <w:r w:rsidR="00A94375" w:rsidRPr="00557A6A">
              <w:rPr>
                <w:sz w:val="20"/>
              </w:rPr>
              <w:t>%</w:t>
            </w:r>
          </w:p>
        </w:tc>
        <w:tc>
          <w:tcPr>
            <w:tcW w:w="1418" w:type="dxa"/>
          </w:tcPr>
          <w:p w14:paraId="6A81ABD9" w14:textId="5BC7CEB4" w:rsidR="00A94375" w:rsidRPr="00557A6A" w:rsidRDefault="002D056E" w:rsidP="00A94375">
            <w:pPr>
              <w:jc w:val="right"/>
              <w:rPr>
                <w:sz w:val="20"/>
              </w:rPr>
            </w:pPr>
            <w:r>
              <w:rPr>
                <w:sz w:val="20"/>
              </w:rPr>
              <w:t>7,5</w:t>
            </w:r>
            <w:r w:rsidR="00A94375" w:rsidRPr="00557A6A">
              <w:rPr>
                <w:sz w:val="20"/>
              </w:rPr>
              <w:t>%</w:t>
            </w:r>
          </w:p>
        </w:tc>
      </w:tr>
      <w:tr w:rsidR="00A94375" w:rsidRPr="00557A6A" w14:paraId="4CA21432" w14:textId="77777777" w:rsidTr="007B04CD">
        <w:trPr>
          <w:trHeight w:val="268"/>
          <w:jc w:val="center"/>
        </w:trPr>
        <w:tc>
          <w:tcPr>
            <w:tcW w:w="4106" w:type="dxa"/>
            <w:shd w:val="clear" w:color="auto" w:fill="auto"/>
            <w:noWrap/>
            <w:vAlign w:val="bottom"/>
            <w:hideMark/>
          </w:tcPr>
          <w:p w14:paraId="67B65541" w14:textId="77777777" w:rsidR="00A94375" w:rsidRPr="00557A6A" w:rsidRDefault="00A94375" w:rsidP="00A94375">
            <w:pPr>
              <w:rPr>
                <w:rFonts w:cs="Arial"/>
                <w:sz w:val="20"/>
              </w:rPr>
            </w:pPr>
            <w:r w:rsidRPr="00557A6A">
              <w:rPr>
                <w:rFonts w:cs="Arial"/>
                <w:sz w:val="20"/>
              </w:rPr>
              <w:t>Kraje Europy Środkowo - Wschodniej</w:t>
            </w:r>
          </w:p>
        </w:tc>
        <w:tc>
          <w:tcPr>
            <w:tcW w:w="1418" w:type="dxa"/>
          </w:tcPr>
          <w:p w14:paraId="114A2957" w14:textId="2848DD6D" w:rsidR="00A94375" w:rsidRPr="00557A6A" w:rsidRDefault="00A94375" w:rsidP="00A94375">
            <w:pPr>
              <w:jc w:val="right"/>
              <w:rPr>
                <w:rFonts w:cs="Arial"/>
                <w:sz w:val="20"/>
              </w:rPr>
            </w:pPr>
            <w:r>
              <w:rPr>
                <w:sz w:val="20"/>
              </w:rPr>
              <w:t>10,</w:t>
            </w:r>
            <w:r w:rsidR="002D056E">
              <w:rPr>
                <w:sz w:val="20"/>
              </w:rPr>
              <w:t>8</w:t>
            </w:r>
            <w:r w:rsidRPr="00557A6A">
              <w:rPr>
                <w:sz w:val="20"/>
              </w:rPr>
              <w:t>%</w:t>
            </w:r>
          </w:p>
        </w:tc>
        <w:tc>
          <w:tcPr>
            <w:tcW w:w="1417" w:type="dxa"/>
          </w:tcPr>
          <w:p w14:paraId="652780CD" w14:textId="2E454733" w:rsidR="00A94375" w:rsidRPr="00557A6A" w:rsidRDefault="002D056E" w:rsidP="00A94375">
            <w:pPr>
              <w:jc w:val="right"/>
              <w:rPr>
                <w:rFonts w:cs="Arial"/>
                <w:sz w:val="20"/>
              </w:rPr>
            </w:pPr>
            <w:r>
              <w:rPr>
                <w:sz w:val="20"/>
              </w:rPr>
              <w:t>3,0</w:t>
            </w:r>
            <w:r w:rsidR="00A94375" w:rsidRPr="00557A6A">
              <w:rPr>
                <w:sz w:val="20"/>
              </w:rPr>
              <w:t>%</w:t>
            </w:r>
          </w:p>
        </w:tc>
        <w:tc>
          <w:tcPr>
            <w:tcW w:w="1418" w:type="dxa"/>
          </w:tcPr>
          <w:p w14:paraId="2BA6077A" w14:textId="6855082A" w:rsidR="00A94375" w:rsidRPr="00557A6A" w:rsidRDefault="00EB05E9" w:rsidP="00A94375">
            <w:pPr>
              <w:jc w:val="right"/>
              <w:rPr>
                <w:sz w:val="20"/>
              </w:rPr>
            </w:pPr>
            <w:r>
              <w:rPr>
                <w:sz w:val="20"/>
              </w:rPr>
              <w:t>1</w:t>
            </w:r>
            <w:r w:rsidR="002D056E">
              <w:rPr>
                <w:sz w:val="20"/>
              </w:rPr>
              <w:t>0,0</w:t>
            </w:r>
            <w:r w:rsidR="00A94375" w:rsidRPr="00557A6A">
              <w:rPr>
                <w:sz w:val="20"/>
              </w:rPr>
              <w:t>%</w:t>
            </w:r>
          </w:p>
        </w:tc>
      </w:tr>
      <w:tr w:rsidR="00A94375" w:rsidRPr="00557A6A" w14:paraId="3EAB75D0" w14:textId="77777777" w:rsidTr="007B04CD">
        <w:trPr>
          <w:trHeight w:val="268"/>
          <w:jc w:val="center"/>
        </w:trPr>
        <w:tc>
          <w:tcPr>
            <w:tcW w:w="4106" w:type="dxa"/>
            <w:shd w:val="clear" w:color="auto" w:fill="auto"/>
            <w:noWrap/>
            <w:vAlign w:val="bottom"/>
            <w:hideMark/>
          </w:tcPr>
          <w:p w14:paraId="00ED8E38" w14:textId="77777777" w:rsidR="00A94375" w:rsidRPr="00557A6A" w:rsidRDefault="00A94375" w:rsidP="00A94375">
            <w:pPr>
              <w:rPr>
                <w:rFonts w:cs="Arial"/>
                <w:sz w:val="20"/>
              </w:rPr>
            </w:pPr>
            <w:r w:rsidRPr="00557A6A">
              <w:rPr>
                <w:rFonts w:cs="Arial"/>
                <w:sz w:val="20"/>
              </w:rPr>
              <w:t>Kraje rozwijające się</w:t>
            </w:r>
          </w:p>
        </w:tc>
        <w:tc>
          <w:tcPr>
            <w:tcW w:w="1418" w:type="dxa"/>
          </w:tcPr>
          <w:p w14:paraId="311EE3FB" w14:textId="77446F2B" w:rsidR="00A94375" w:rsidRPr="00557A6A" w:rsidRDefault="00A94375" w:rsidP="00A94375">
            <w:pPr>
              <w:jc w:val="right"/>
              <w:rPr>
                <w:rFonts w:cs="Arial"/>
                <w:sz w:val="20"/>
              </w:rPr>
            </w:pPr>
            <w:r>
              <w:rPr>
                <w:sz w:val="20"/>
              </w:rPr>
              <w:t>9,</w:t>
            </w:r>
            <w:r w:rsidR="002D056E">
              <w:rPr>
                <w:sz w:val="20"/>
              </w:rPr>
              <w:t>4</w:t>
            </w:r>
            <w:r w:rsidRPr="00557A6A">
              <w:rPr>
                <w:sz w:val="20"/>
              </w:rPr>
              <w:t>%</w:t>
            </w:r>
          </w:p>
        </w:tc>
        <w:tc>
          <w:tcPr>
            <w:tcW w:w="1417" w:type="dxa"/>
          </w:tcPr>
          <w:p w14:paraId="0C076018" w14:textId="4BD0F117" w:rsidR="00A94375" w:rsidRPr="00557A6A" w:rsidRDefault="002D056E" w:rsidP="00A94375">
            <w:pPr>
              <w:jc w:val="right"/>
              <w:rPr>
                <w:rFonts w:cs="Arial"/>
                <w:sz w:val="20"/>
              </w:rPr>
            </w:pPr>
            <w:r>
              <w:rPr>
                <w:sz w:val="20"/>
              </w:rPr>
              <w:t>1</w:t>
            </w:r>
            <w:r w:rsidR="00E00135">
              <w:rPr>
                <w:sz w:val="20"/>
              </w:rPr>
              <w:t>,</w:t>
            </w:r>
            <w:r w:rsidR="00ED4059">
              <w:rPr>
                <w:sz w:val="20"/>
              </w:rPr>
              <w:t>0</w:t>
            </w:r>
            <w:r w:rsidR="00A94375" w:rsidRPr="00557A6A">
              <w:rPr>
                <w:sz w:val="20"/>
              </w:rPr>
              <w:t>%</w:t>
            </w:r>
          </w:p>
        </w:tc>
        <w:tc>
          <w:tcPr>
            <w:tcW w:w="1418" w:type="dxa"/>
          </w:tcPr>
          <w:p w14:paraId="2667CA65" w14:textId="20EA3ECC" w:rsidR="00A94375" w:rsidRPr="00557A6A" w:rsidRDefault="002D056E" w:rsidP="00A94375">
            <w:pPr>
              <w:jc w:val="right"/>
              <w:rPr>
                <w:sz w:val="20"/>
              </w:rPr>
            </w:pPr>
            <w:r>
              <w:rPr>
                <w:sz w:val="20"/>
              </w:rPr>
              <w:t>9,0</w:t>
            </w:r>
            <w:r w:rsidR="00A94375" w:rsidRPr="00557A6A">
              <w:rPr>
                <w:sz w:val="20"/>
              </w:rPr>
              <w:t>%</w:t>
            </w:r>
          </w:p>
        </w:tc>
      </w:tr>
    </w:tbl>
    <w:p w14:paraId="65B9C4DB" w14:textId="77777777" w:rsidR="00F156D2" w:rsidRPr="00511C4A" w:rsidRDefault="00F156D2" w:rsidP="00545DD6">
      <w:pPr>
        <w:spacing w:before="120" w:after="120" w:line="360" w:lineRule="auto"/>
        <w:jc w:val="both"/>
        <w:rPr>
          <w:rFonts w:cs="Arial"/>
          <w:highlight w:val="yellow"/>
        </w:rPr>
      </w:pPr>
    </w:p>
    <w:p w14:paraId="0163717F" w14:textId="7A980263" w:rsidR="00545DD6" w:rsidRDefault="003F1640" w:rsidP="00545DD6">
      <w:pPr>
        <w:spacing w:before="120" w:after="120" w:line="360" w:lineRule="auto"/>
        <w:jc w:val="both"/>
        <w:rPr>
          <w:rFonts w:cs="Arial"/>
        </w:rPr>
      </w:pPr>
      <w:r w:rsidRPr="00557A6A">
        <w:rPr>
          <w:rFonts w:cs="Arial"/>
        </w:rPr>
        <w:t>W</w:t>
      </w:r>
      <w:r w:rsidR="00EB423E" w:rsidRPr="00557A6A">
        <w:rPr>
          <w:rFonts w:cs="Arial"/>
        </w:rPr>
        <w:t xml:space="preserve"> roku 202</w:t>
      </w:r>
      <w:r w:rsidR="00505312">
        <w:rPr>
          <w:rFonts w:cs="Arial"/>
        </w:rPr>
        <w:t>3</w:t>
      </w:r>
      <w:r w:rsidR="00EB423E" w:rsidRPr="00557A6A">
        <w:rPr>
          <w:rFonts w:cs="Arial"/>
        </w:rPr>
        <w:t xml:space="preserve"> nasz</w:t>
      </w:r>
      <w:r w:rsidR="00C923E3" w:rsidRPr="00557A6A">
        <w:rPr>
          <w:rFonts w:cs="Arial"/>
        </w:rPr>
        <w:t>a</w:t>
      </w:r>
      <w:r w:rsidR="00EB423E" w:rsidRPr="00557A6A">
        <w:rPr>
          <w:rFonts w:cs="Arial"/>
        </w:rPr>
        <w:t xml:space="preserve"> sprzedaż eksportow</w:t>
      </w:r>
      <w:r w:rsidR="00C923E3" w:rsidRPr="00557A6A">
        <w:rPr>
          <w:rFonts w:cs="Arial"/>
        </w:rPr>
        <w:t xml:space="preserve">a uległa </w:t>
      </w:r>
      <w:r w:rsidR="0035738C" w:rsidRPr="00557A6A">
        <w:rPr>
          <w:rFonts w:cs="Arial"/>
        </w:rPr>
        <w:t>zwi</w:t>
      </w:r>
      <w:r w:rsidR="002436C7" w:rsidRPr="00557A6A">
        <w:rPr>
          <w:rFonts w:cs="Arial"/>
        </w:rPr>
        <w:t>ę</w:t>
      </w:r>
      <w:r w:rsidR="0035738C" w:rsidRPr="00557A6A">
        <w:rPr>
          <w:rFonts w:cs="Arial"/>
        </w:rPr>
        <w:t>kszeniu</w:t>
      </w:r>
      <w:r w:rsidR="00EB423E" w:rsidRPr="00557A6A">
        <w:rPr>
          <w:rFonts w:cs="Arial"/>
        </w:rPr>
        <w:t xml:space="preserve"> z </w:t>
      </w:r>
      <w:r w:rsidR="00505312">
        <w:rPr>
          <w:rFonts w:cs="Arial"/>
        </w:rPr>
        <w:t>32</w:t>
      </w:r>
      <w:r w:rsidR="0093339D">
        <w:rPr>
          <w:rFonts w:cs="Arial"/>
        </w:rPr>
        <w:t>4,2</w:t>
      </w:r>
      <w:r w:rsidR="00EB423E" w:rsidRPr="00557A6A">
        <w:rPr>
          <w:rFonts w:cs="Arial"/>
        </w:rPr>
        <w:t xml:space="preserve"> mld EUR </w:t>
      </w:r>
      <w:r w:rsidR="009C323D" w:rsidRPr="00557A6A">
        <w:rPr>
          <w:rFonts w:cs="Arial"/>
        </w:rPr>
        <w:t>w roku 20</w:t>
      </w:r>
      <w:r w:rsidRPr="00557A6A">
        <w:rPr>
          <w:rFonts w:cs="Arial"/>
        </w:rPr>
        <w:t>2</w:t>
      </w:r>
      <w:r w:rsidR="00505312">
        <w:rPr>
          <w:rFonts w:cs="Arial"/>
        </w:rPr>
        <w:t>2</w:t>
      </w:r>
      <w:r w:rsidR="009C323D" w:rsidRPr="00557A6A">
        <w:rPr>
          <w:rFonts w:cs="Arial"/>
        </w:rPr>
        <w:t xml:space="preserve"> do </w:t>
      </w:r>
      <w:r w:rsidR="00505312">
        <w:rPr>
          <w:rFonts w:cs="Arial"/>
        </w:rPr>
        <w:t>33</w:t>
      </w:r>
      <w:r w:rsidR="0093339D">
        <w:rPr>
          <w:rFonts w:cs="Arial"/>
        </w:rPr>
        <w:t>5,4</w:t>
      </w:r>
      <w:r w:rsidR="0007427E" w:rsidRPr="00557A6A">
        <w:rPr>
          <w:rFonts w:cs="Arial"/>
        </w:rPr>
        <w:t xml:space="preserve"> mld EUR (o </w:t>
      </w:r>
      <w:r w:rsidR="00A94375">
        <w:rPr>
          <w:rFonts w:cs="Arial"/>
        </w:rPr>
        <w:t>3,</w:t>
      </w:r>
      <w:r w:rsidR="0093339D">
        <w:rPr>
          <w:rFonts w:cs="Arial"/>
        </w:rPr>
        <w:t>5</w:t>
      </w:r>
      <w:r w:rsidR="00EB423E" w:rsidRPr="00557A6A">
        <w:rPr>
          <w:rFonts w:cs="Arial"/>
        </w:rPr>
        <w:t>%)</w:t>
      </w:r>
      <w:r w:rsidR="00DA76E4" w:rsidRPr="00557A6A">
        <w:rPr>
          <w:rFonts w:cs="Arial"/>
        </w:rPr>
        <w:t>.</w:t>
      </w:r>
      <w:r w:rsidR="00D9638D" w:rsidRPr="00557A6A">
        <w:rPr>
          <w:rFonts w:cs="Arial"/>
        </w:rPr>
        <w:t xml:space="preserve"> </w:t>
      </w:r>
      <w:r w:rsidR="00EB423E" w:rsidRPr="00557A6A">
        <w:rPr>
          <w:rFonts w:cs="Arial"/>
        </w:rPr>
        <w:t>W</w:t>
      </w:r>
      <w:r w:rsidR="00C631B1" w:rsidRPr="00557A6A">
        <w:rPr>
          <w:rFonts w:cs="Arial"/>
        </w:rPr>
        <w:t xml:space="preserve">edług naszych </w:t>
      </w:r>
      <w:r w:rsidR="007629AC">
        <w:rPr>
          <w:rFonts w:cs="Arial"/>
        </w:rPr>
        <w:t xml:space="preserve">najnowszych </w:t>
      </w:r>
      <w:r w:rsidR="002B09BF">
        <w:rPr>
          <w:rFonts w:cs="Arial"/>
        </w:rPr>
        <w:t>szacunków</w:t>
      </w:r>
      <w:r w:rsidR="00EB423E" w:rsidRPr="00557A6A">
        <w:rPr>
          <w:rFonts w:cs="Arial"/>
        </w:rPr>
        <w:t xml:space="preserve"> </w:t>
      </w:r>
      <w:r w:rsidR="00C631B1" w:rsidRPr="00557A6A">
        <w:rPr>
          <w:rFonts w:cs="Arial"/>
        </w:rPr>
        <w:t>eksport</w:t>
      </w:r>
      <w:r w:rsidR="00A7505C">
        <w:rPr>
          <w:rFonts w:cs="Arial"/>
        </w:rPr>
        <w:t xml:space="preserve"> w</w:t>
      </w:r>
      <w:r w:rsidR="00C631B1" w:rsidRPr="00557A6A">
        <w:rPr>
          <w:rFonts w:cs="Arial"/>
        </w:rPr>
        <w:t xml:space="preserve"> </w:t>
      </w:r>
      <w:r w:rsidR="00EB423E" w:rsidRPr="00557A6A">
        <w:rPr>
          <w:rFonts w:cs="Arial"/>
        </w:rPr>
        <w:t>roku 202</w:t>
      </w:r>
      <w:r w:rsidR="00505312">
        <w:rPr>
          <w:rFonts w:cs="Arial"/>
        </w:rPr>
        <w:t>4</w:t>
      </w:r>
      <w:r w:rsidR="00EB423E" w:rsidRPr="00557A6A">
        <w:rPr>
          <w:rFonts w:cs="Arial"/>
        </w:rPr>
        <w:t xml:space="preserve"> </w:t>
      </w:r>
      <w:r w:rsidR="00505312">
        <w:rPr>
          <w:rFonts w:cs="Arial"/>
        </w:rPr>
        <w:t>może</w:t>
      </w:r>
      <w:r w:rsidR="00922F52">
        <w:rPr>
          <w:rFonts w:cs="Arial"/>
        </w:rPr>
        <w:t xml:space="preserve"> </w:t>
      </w:r>
      <w:r w:rsidR="0093339D">
        <w:rPr>
          <w:rFonts w:cs="Arial"/>
        </w:rPr>
        <w:t>zmniejszyć</w:t>
      </w:r>
      <w:r w:rsidR="00922F52">
        <w:rPr>
          <w:rFonts w:cs="Arial"/>
        </w:rPr>
        <w:t xml:space="preserve"> się do </w:t>
      </w:r>
      <w:r w:rsidR="00DB77C7">
        <w:rPr>
          <w:rFonts w:cs="Arial"/>
        </w:rPr>
        <w:t>3</w:t>
      </w:r>
      <w:r w:rsidR="0093339D">
        <w:rPr>
          <w:rFonts w:cs="Arial"/>
        </w:rPr>
        <w:t>33,2</w:t>
      </w:r>
      <w:r w:rsidR="00922F52">
        <w:rPr>
          <w:rFonts w:cs="Arial"/>
        </w:rPr>
        <w:t xml:space="preserve"> </w:t>
      </w:r>
      <w:r w:rsidR="00401A3D">
        <w:rPr>
          <w:rFonts w:cs="Arial"/>
        </w:rPr>
        <w:t xml:space="preserve">mld EUR </w:t>
      </w:r>
      <w:r w:rsidR="00922F52">
        <w:rPr>
          <w:rFonts w:cs="Arial"/>
        </w:rPr>
        <w:t xml:space="preserve">tj. o </w:t>
      </w:r>
      <w:r w:rsidR="0093339D">
        <w:rPr>
          <w:rFonts w:cs="Arial"/>
        </w:rPr>
        <w:t>0,7</w:t>
      </w:r>
      <w:r w:rsidR="00922F52">
        <w:rPr>
          <w:rFonts w:cs="Arial"/>
        </w:rPr>
        <w:t>%</w:t>
      </w:r>
      <w:r w:rsidR="00E973DE" w:rsidRPr="00557A6A">
        <w:rPr>
          <w:rFonts w:cs="Arial"/>
        </w:rPr>
        <w:t>,</w:t>
      </w:r>
      <w:r w:rsidR="007B04CD" w:rsidRPr="00557A6A">
        <w:rPr>
          <w:rFonts w:cs="Arial"/>
        </w:rPr>
        <w:t xml:space="preserve"> a w r</w:t>
      </w:r>
      <w:r w:rsidR="00A8797A" w:rsidRPr="00557A6A">
        <w:rPr>
          <w:rFonts w:cs="Arial"/>
        </w:rPr>
        <w:t>o</w:t>
      </w:r>
      <w:r w:rsidR="007B04CD" w:rsidRPr="00557A6A">
        <w:rPr>
          <w:rFonts w:cs="Arial"/>
        </w:rPr>
        <w:t>ku 202</w:t>
      </w:r>
      <w:r w:rsidR="00505312">
        <w:rPr>
          <w:rFonts w:cs="Arial"/>
        </w:rPr>
        <w:t>5</w:t>
      </w:r>
      <w:r w:rsidR="007B04CD" w:rsidRPr="00557A6A">
        <w:rPr>
          <w:rFonts w:cs="Arial"/>
        </w:rPr>
        <w:t xml:space="preserve"> </w:t>
      </w:r>
      <w:r w:rsidR="00A8797A" w:rsidRPr="00557A6A">
        <w:rPr>
          <w:rFonts w:cs="Arial"/>
        </w:rPr>
        <w:t>wynosząc</w:t>
      </w:r>
      <w:r w:rsidR="007B04CD" w:rsidRPr="00557A6A">
        <w:rPr>
          <w:rFonts w:cs="Arial"/>
        </w:rPr>
        <w:t xml:space="preserve"> </w:t>
      </w:r>
      <w:r w:rsidR="00E351BA">
        <w:rPr>
          <w:rFonts w:cs="Arial"/>
        </w:rPr>
        <w:t>3</w:t>
      </w:r>
      <w:r w:rsidR="0093339D">
        <w:rPr>
          <w:rFonts w:cs="Arial"/>
        </w:rPr>
        <w:t>61,4</w:t>
      </w:r>
      <w:r w:rsidR="00A8797A" w:rsidRPr="00557A6A">
        <w:rPr>
          <w:rFonts w:cs="Arial"/>
        </w:rPr>
        <w:t xml:space="preserve"> mld EUR </w:t>
      </w:r>
      <w:r w:rsidR="002B09BF">
        <w:rPr>
          <w:rFonts w:cs="Arial"/>
        </w:rPr>
        <w:t xml:space="preserve">może być wyższy niż rok wcześniej o </w:t>
      </w:r>
      <w:r w:rsidR="0093339D">
        <w:rPr>
          <w:rFonts w:cs="Arial"/>
        </w:rPr>
        <w:t>8,5</w:t>
      </w:r>
      <w:r w:rsidR="00A8797A" w:rsidRPr="00557A6A">
        <w:rPr>
          <w:rFonts w:cs="Arial"/>
        </w:rPr>
        <w:t>%</w:t>
      </w:r>
      <w:r w:rsidR="00E973DE" w:rsidRPr="00557A6A">
        <w:rPr>
          <w:rFonts w:cs="Arial"/>
        </w:rPr>
        <w:t>.</w:t>
      </w:r>
      <w:r w:rsidR="00E973DE">
        <w:rPr>
          <w:rFonts w:cs="Arial"/>
        </w:rPr>
        <w:t xml:space="preserve"> </w:t>
      </w:r>
      <w:r w:rsidR="00545DD6">
        <w:rPr>
          <w:rFonts w:cs="Arial"/>
        </w:rPr>
        <w:t xml:space="preserve"> </w:t>
      </w:r>
    </w:p>
    <w:p w14:paraId="276256BA" w14:textId="77777777" w:rsidR="00674F50" w:rsidRDefault="00674F50" w:rsidP="008C72A8">
      <w:pPr>
        <w:spacing w:line="360" w:lineRule="auto"/>
        <w:rPr>
          <w:rFonts w:cs="Arial"/>
          <w:color w:val="000000"/>
          <w:szCs w:val="22"/>
        </w:rPr>
      </w:pPr>
    </w:p>
    <w:p w14:paraId="02A5D4A6" w14:textId="77777777" w:rsidR="006B14B2" w:rsidRPr="004F4305" w:rsidRDefault="009B6EBA" w:rsidP="004F4305">
      <w:pPr>
        <w:spacing w:line="276" w:lineRule="auto"/>
        <w:rPr>
          <w:rFonts w:cs="Arial"/>
          <w:b/>
          <w:color w:val="000000"/>
          <w:szCs w:val="22"/>
        </w:rPr>
      </w:pPr>
      <w:r>
        <w:rPr>
          <w:rFonts w:cs="Arial"/>
          <w:b/>
          <w:color w:val="000000"/>
          <w:szCs w:val="22"/>
        </w:rPr>
        <w:t>K</w:t>
      </w:r>
      <w:r w:rsidR="004F4305" w:rsidRPr="004F4305">
        <w:rPr>
          <w:rFonts w:cs="Arial"/>
          <w:b/>
          <w:color w:val="000000"/>
          <w:szCs w:val="22"/>
        </w:rPr>
        <w:t>ontakt</w:t>
      </w:r>
    </w:p>
    <w:p w14:paraId="2EDB84D3" w14:textId="3D9388D8" w:rsidR="004F4305" w:rsidRPr="004F4305" w:rsidRDefault="004F4305" w:rsidP="004F4305">
      <w:pPr>
        <w:spacing w:line="276" w:lineRule="auto"/>
        <w:rPr>
          <w:rFonts w:ascii="Times New Roman" w:hAnsi="Times New Roman"/>
          <w:szCs w:val="22"/>
        </w:rPr>
      </w:pPr>
      <w:r w:rsidRPr="004F4305">
        <w:rPr>
          <w:rFonts w:cs="Arial"/>
          <w:b/>
          <w:bCs/>
          <w:szCs w:val="22"/>
        </w:rPr>
        <w:t>Piotr Soroczyński</w:t>
      </w:r>
    </w:p>
    <w:p w14:paraId="3683660D" w14:textId="30F70EFD" w:rsidR="004F4305" w:rsidRPr="00D1765A" w:rsidRDefault="004F4305" w:rsidP="006B14B2">
      <w:pPr>
        <w:spacing w:line="276" w:lineRule="auto"/>
        <w:rPr>
          <w:rFonts w:cs="Arial"/>
          <w:bCs/>
          <w:szCs w:val="22"/>
        </w:rPr>
      </w:pPr>
      <w:r w:rsidRPr="00D1765A">
        <w:rPr>
          <w:rFonts w:cs="Arial"/>
          <w:bCs/>
          <w:szCs w:val="22"/>
        </w:rPr>
        <w:t>tel. 22 630 97 24</w:t>
      </w:r>
    </w:p>
    <w:p w14:paraId="69EED191" w14:textId="77777777" w:rsidR="004D37DC" w:rsidRPr="007F7B33" w:rsidRDefault="009E22DA" w:rsidP="003F1640">
      <w:pPr>
        <w:spacing w:line="276" w:lineRule="auto"/>
        <w:rPr>
          <w:rFonts w:ascii="Times New Roman" w:hAnsi="Times New Roman"/>
          <w:szCs w:val="22"/>
        </w:rPr>
      </w:pPr>
      <w:r w:rsidRPr="007F7B33">
        <w:rPr>
          <w:rFonts w:cs="Arial"/>
          <w:bCs/>
          <w:szCs w:val="22"/>
        </w:rPr>
        <w:t xml:space="preserve">kom. </w:t>
      </w:r>
      <w:r w:rsidR="004D37DC" w:rsidRPr="007F7B33">
        <w:rPr>
          <w:rFonts w:cs="Arial"/>
          <w:bCs/>
          <w:szCs w:val="22"/>
        </w:rPr>
        <w:t>502 503 272</w:t>
      </w:r>
    </w:p>
    <w:p w14:paraId="09EAA782" w14:textId="18419AC2" w:rsidR="004F4305" w:rsidRPr="006B14B2" w:rsidRDefault="006B14B2" w:rsidP="008C72A8">
      <w:pPr>
        <w:spacing w:line="360" w:lineRule="auto"/>
        <w:rPr>
          <w:rFonts w:cs="Arial"/>
          <w:color w:val="000000"/>
          <w:szCs w:val="22"/>
          <w:lang w:val="en-GB"/>
        </w:rPr>
      </w:pPr>
      <w:r w:rsidRPr="006B14B2">
        <w:rPr>
          <w:rFonts w:cs="Arial"/>
          <w:color w:val="000000"/>
          <w:szCs w:val="22"/>
          <w:lang w:val="en-GB"/>
        </w:rPr>
        <w:t xml:space="preserve">e-mail: </w:t>
      </w:r>
      <w:hyperlink r:id="rId10" w:history="1">
        <w:r w:rsidRPr="006B14B2">
          <w:rPr>
            <w:rStyle w:val="Hipercze"/>
            <w:rFonts w:cs="Arial"/>
            <w:szCs w:val="22"/>
            <w:lang w:val="en-GB"/>
          </w:rPr>
          <w:t>psoroczynski@kig.pl</w:t>
        </w:r>
      </w:hyperlink>
    </w:p>
    <w:sectPr w:rsidR="004F4305" w:rsidRPr="006B14B2" w:rsidSect="006C3C1B">
      <w:headerReference w:type="default" r:id="rId11"/>
      <w:footerReference w:type="even" r:id="rId12"/>
      <w:footerReference w:type="default" r:id="rId13"/>
      <w:headerReference w:type="first" r:id="rId14"/>
      <w:footerReference w:type="first" r:id="rId15"/>
      <w:pgSz w:w="11906" w:h="16838" w:code="9"/>
      <w:pgMar w:top="2552" w:right="1418" w:bottom="2836" w:left="1701" w:header="851" w:footer="933"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CCD8EB" w14:textId="77777777" w:rsidR="00E46B18" w:rsidRDefault="00E46B18">
      <w:r>
        <w:separator/>
      </w:r>
    </w:p>
  </w:endnote>
  <w:endnote w:type="continuationSeparator" w:id="0">
    <w:p w14:paraId="1675AD42" w14:textId="77777777" w:rsidR="00E46B18" w:rsidRDefault="00E46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yriad Pro">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A1EE5" w14:textId="77777777" w:rsidR="00A54440" w:rsidRDefault="00EC41C4">
    <w:pPr>
      <w:pStyle w:val="Stopka"/>
      <w:framePr w:wrap="around" w:vAnchor="text" w:hAnchor="margin" w:xAlign="right" w:y="1"/>
      <w:rPr>
        <w:rStyle w:val="Numerstrony"/>
      </w:rPr>
    </w:pPr>
    <w:r>
      <w:rPr>
        <w:rStyle w:val="Numerstrony"/>
      </w:rPr>
      <w:fldChar w:fldCharType="begin"/>
    </w:r>
    <w:r w:rsidR="00A54440">
      <w:rPr>
        <w:rStyle w:val="Numerstrony"/>
      </w:rPr>
      <w:instrText xml:space="preserve">PAGE  </w:instrText>
    </w:r>
    <w:r>
      <w:rPr>
        <w:rStyle w:val="Numerstrony"/>
      </w:rPr>
      <w:fldChar w:fldCharType="end"/>
    </w:r>
  </w:p>
  <w:p w14:paraId="5DE0106E" w14:textId="77777777" w:rsidR="00A54440" w:rsidRDefault="00A5444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98507" w14:textId="77777777" w:rsidR="00A54440" w:rsidRDefault="00EC41C4">
    <w:pPr>
      <w:pStyle w:val="Stopka"/>
      <w:framePr w:wrap="around" w:vAnchor="text" w:hAnchor="margin" w:xAlign="right" w:y="1"/>
      <w:rPr>
        <w:rStyle w:val="Numerstrony"/>
      </w:rPr>
    </w:pPr>
    <w:r>
      <w:rPr>
        <w:rStyle w:val="Numerstrony"/>
      </w:rPr>
      <w:fldChar w:fldCharType="begin"/>
    </w:r>
    <w:r w:rsidR="00A54440">
      <w:rPr>
        <w:rStyle w:val="Numerstrony"/>
      </w:rPr>
      <w:instrText xml:space="preserve">PAGE  </w:instrText>
    </w:r>
    <w:r>
      <w:rPr>
        <w:rStyle w:val="Numerstrony"/>
      </w:rPr>
      <w:fldChar w:fldCharType="separate"/>
    </w:r>
    <w:r w:rsidR="00F156D2">
      <w:rPr>
        <w:rStyle w:val="Numerstrony"/>
        <w:noProof/>
      </w:rPr>
      <w:t>4</w:t>
    </w:r>
    <w:r>
      <w:rPr>
        <w:rStyle w:val="Numerstrony"/>
      </w:rPr>
      <w:fldChar w:fldCharType="end"/>
    </w:r>
  </w:p>
  <w:p w14:paraId="08114F37" w14:textId="77777777" w:rsidR="00A54440" w:rsidRPr="002E2A3B" w:rsidRDefault="00A54440" w:rsidP="008574EE">
    <w:pPr>
      <w:ind w:left="-851" w:right="-993"/>
      <w:jc w:val="center"/>
      <w:rPr>
        <w:b/>
        <w:noProof/>
        <w:spacing w:val="-4"/>
        <w:sz w:val="20"/>
      </w:rPr>
    </w:pPr>
    <w:r w:rsidRPr="002E2A3B">
      <w:rPr>
        <w:b/>
        <w:noProof/>
        <w:spacing w:val="-4"/>
        <w:sz w:val="20"/>
      </w:rPr>
      <w:t>Krajowa Izba Gospodarcza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67B0C" w14:textId="77777777" w:rsidR="00A54440" w:rsidRPr="00C628DA" w:rsidRDefault="00A54440" w:rsidP="006429C7">
    <w:pPr>
      <w:pStyle w:val="Stopka"/>
      <w:rPr>
        <w:b/>
        <w:spacing w:val="-4"/>
        <w:sz w:val="16"/>
      </w:rPr>
    </w:pPr>
    <w:r w:rsidRPr="00C628DA">
      <w:rPr>
        <w:b/>
        <w:spacing w:val="-4"/>
        <w:sz w:val="20"/>
      </w:rPr>
      <w:t>Krajowa Izba Gospodarcza</w:t>
    </w:r>
    <w:r w:rsidRPr="00C628DA">
      <w:rPr>
        <w:b/>
        <w:spacing w:val="-4"/>
        <w:sz w:val="16"/>
      </w:rPr>
      <w:t xml:space="preserve"> </w:t>
    </w:r>
  </w:p>
  <w:p w14:paraId="6F9B4EFA" w14:textId="77777777" w:rsidR="00A54440" w:rsidRPr="00C628DA" w:rsidRDefault="00A54440" w:rsidP="006429C7">
    <w:pPr>
      <w:pStyle w:val="Stopka"/>
      <w:rPr>
        <w:spacing w:val="-4"/>
        <w:sz w:val="20"/>
      </w:rPr>
    </w:pPr>
    <w:r w:rsidRPr="00C628DA">
      <w:rPr>
        <w:spacing w:val="-4"/>
        <w:sz w:val="20"/>
      </w:rPr>
      <w:t xml:space="preserve">ul. Trębacka  4, </w:t>
    </w:r>
    <w:r>
      <w:rPr>
        <w:spacing w:val="-4"/>
        <w:sz w:val="20"/>
      </w:rPr>
      <w:t>00-074  Warszawa, tel.: +48 22 630 96 00, faks: +48 22</w:t>
    </w:r>
    <w:r w:rsidRPr="00C628DA">
      <w:rPr>
        <w:spacing w:val="-4"/>
        <w:sz w:val="20"/>
      </w:rPr>
      <w:t xml:space="preserve"> 827 46 73, </w:t>
    </w:r>
    <w:hyperlink r:id="rId1" w:history="1">
      <w:r w:rsidRPr="002653EF">
        <w:rPr>
          <w:rStyle w:val="Hipercze"/>
          <w:spacing w:val="-4"/>
          <w:sz w:val="20"/>
        </w:rPr>
        <w:t>www.kig.pl</w:t>
      </w:r>
    </w:hyperlink>
    <w:r>
      <w:rPr>
        <w:spacing w:val="-4"/>
        <w:sz w:val="20"/>
      </w:rPr>
      <w:br/>
    </w:r>
    <w:r w:rsidRPr="00073021">
      <w:rPr>
        <w:spacing w:val="-4"/>
        <w:sz w:val="16"/>
        <w:szCs w:val="16"/>
      </w:rPr>
      <w:br/>
    </w:r>
    <w:r w:rsidRPr="00073021">
      <w:rPr>
        <w:color w:val="000000"/>
        <w:sz w:val="20"/>
      </w:rPr>
      <w:t>Sąd Rejonowy dla m. st. Warszawy, XII Wydział Gospodarczy Krajowego Rejestru Sądowego</w:t>
    </w:r>
    <w:r w:rsidRPr="00073021">
      <w:rPr>
        <w:color w:val="000000"/>
        <w:sz w:val="20"/>
      </w:rPr>
      <w:br/>
      <w:t>KRS: 0000121136, REGON: 006210187, NIP: 526 000 17 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57ECD3" w14:textId="77777777" w:rsidR="00E46B18" w:rsidRDefault="00E46B18">
      <w:r>
        <w:separator/>
      </w:r>
    </w:p>
  </w:footnote>
  <w:footnote w:type="continuationSeparator" w:id="0">
    <w:p w14:paraId="36F7277C" w14:textId="77777777" w:rsidR="00E46B18" w:rsidRDefault="00E46B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B4DD3" w14:textId="77777777" w:rsidR="00A54440" w:rsidRDefault="00A54440">
    <w:pPr>
      <w:pStyle w:val="Nagwek"/>
    </w:pPr>
  </w:p>
  <w:p w14:paraId="67154C7A" w14:textId="77777777" w:rsidR="00A54440" w:rsidRDefault="00A54440">
    <w:pPr>
      <w:pStyle w:val="Nagwek"/>
      <w:jc w:val="right"/>
    </w:pPr>
  </w:p>
  <w:p w14:paraId="3723C055" w14:textId="77777777" w:rsidR="00A54440" w:rsidRDefault="00A54440">
    <w:pPr>
      <w:pStyle w:val="Nagwek"/>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1EC0E" w14:textId="77777777" w:rsidR="00A54440" w:rsidRDefault="00A54440" w:rsidP="00D21787">
    <w:pPr>
      <w:pStyle w:val="Nagwek"/>
      <w:ind w:right="-2"/>
    </w:pPr>
    <w:r>
      <w:rPr>
        <w:noProof/>
      </w:rPr>
      <w:drawing>
        <wp:anchor distT="0" distB="0" distL="114300" distR="114300" simplePos="0" relativeHeight="251657728" behindDoc="1" locked="0" layoutInCell="1" allowOverlap="1" wp14:anchorId="6A139CA3" wp14:editId="0D6CF8C0">
          <wp:simplePos x="0" y="0"/>
          <wp:positionH relativeFrom="column">
            <wp:posOffset>-47625</wp:posOffset>
          </wp:positionH>
          <wp:positionV relativeFrom="paragraph">
            <wp:posOffset>-80645</wp:posOffset>
          </wp:positionV>
          <wp:extent cx="3248025" cy="838200"/>
          <wp:effectExtent l="19050" t="0" r="9525" b="0"/>
          <wp:wrapNone/>
          <wp:docPr id="1" name="Obraz 1"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
                  <pic:cNvPicPr>
                    <a:picLocks noChangeAspect="1" noChangeArrowheads="1"/>
                  </pic:cNvPicPr>
                </pic:nvPicPr>
                <pic:blipFill>
                  <a:blip r:embed="rId1"/>
                  <a:srcRect/>
                  <a:stretch>
                    <a:fillRect/>
                  </a:stretch>
                </pic:blipFill>
                <pic:spPr bwMode="auto">
                  <a:xfrm>
                    <a:off x="0" y="0"/>
                    <a:ext cx="3248025" cy="838200"/>
                  </a:xfrm>
                  <a:prstGeom prst="rect">
                    <a:avLst/>
                  </a:prstGeom>
                  <a:noFill/>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86C40"/>
    <w:multiLevelType w:val="multilevel"/>
    <w:tmpl w:val="9FB0D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236965"/>
    <w:multiLevelType w:val="hybridMultilevel"/>
    <w:tmpl w:val="C4E4DEAC"/>
    <w:lvl w:ilvl="0" w:tplc="E8F6A206">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0C31E0"/>
    <w:multiLevelType w:val="hybridMultilevel"/>
    <w:tmpl w:val="B0CAE68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F8E46A1"/>
    <w:multiLevelType w:val="multilevel"/>
    <w:tmpl w:val="7E480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8026E7"/>
    <w:multiLevelType w:val="multilevel"/>
    <w:tmpl w:val="5D8C3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393146"/>
    <w:multiLevelType w:val="multilevel"/>
    <w:tmpl w:val="20501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290DAF"/>
    <w:multiLevelType w:val="multilevel"/>
    <w:tmpl w:val="24F2A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17064F"/>
    <w:multiLevelType w:val="hybridMultilevel"/>
    <w:tmpl w:val="94808F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C944B25"/>
    <w:multiLevelType w:val="multilevel"/>
    <w:tmpl w:val="0AF6D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8E2C1C"/>
    <w:multiLevelType w:val="hybridMultilevel"/>
    <w:tmpl w:val="E62811B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0E14A14"/>
    <w:multiLevelType w:val="multilevel"/>
    <w:tmpl w:val="26E0C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73C1AD8"/>
    <w:multiLevelType w:val="multilevel"/>
    <w:tmpl w:val="E8C8B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6E0215"/>
    <w:multiLevelType w:val="hybridMultilevel"/>
    <w:tmpl w:val="0D56F12C"/>
    <w:lvl w:ilvl="0" w:tplc="0415000D">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3" w15:restartNumberingAfterBreak="0">
    <w:nsid w:val="48B86FDC"/>
    <w:multiLevelType w:val="multilevel"/>
    <w:tmpl w:val="45E26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125878"/>
    <w:multiLevelType w:val="multilevel"/>
    <w:tmpl w:val="8B3AA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082BBB"/>
    <w:multiLevelType w:val="multilevel"/>
    <w:tmpl w:val="9FA88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B707BB"/>
    <w:multiLevelType w:val="hybridMultilevel"/>
    <w:tmpl w:val="733C4B58"/>
    <w:lvl w:ilvl="0" w:tplc="3366226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15:restartNumberingAfterBreak="0">
    <w:nsid w:val="78B87FC6"/>
    <w:multiLevelType w:val="multilevel"/>
    <w:tmpl w:val="28D4B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B5B1954"/>
    <w:multiLevelType w:val="multilevel"/>
    <w:tmpl w:val="E8E65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3578947">
    <w:abstractNumId w:val="1"/>
  </w:num>
  <w:num w:numId="2" w16cid:durableId="236281463">
    <w:abstractNumId w:val="7"/>
  </w:num>
  <w:num w:numId="3" w16cid:durableId="341081519">
    <w:abstractNumId w:val="0"/>
  </w:num>
  <w:num w:numId="4" w16cid:durableId="1650211013">
    <w:abstractNumId w:val="8"/>
  </w:num>
  <w:num w:numId="5" w16cid:durableId="1181820784">
    <w:abstractNumId w:val="3"/>
  </w:num>
  <w:num w:numId="6" w16cid:durableId="978455505">
    <w:abstractNumId w:val="4"/>
  </w:num>
  <w:num w:numId="7" w16cid:durableId="667758583">
    <w:abstractNumId w:val="5"/>
  </w:num>
  <w:num w:numId="8" w16cid:durableId="1783987134">
    <w:abstractNumId w:val="17"/>
  </w:num>
  <w:num w:numId="9" w16cid:durableId="1236159413">
    <w:abstractNumId w:val="14"/>
  </w:num>
  <w:num w:numId="10" w16cid:durableId="1322850142">
    <w:abstractNumId w:val="15"/>
  </w:num>
  <w:num w:numId="11" w16cid:durableId="1489708894">
    <w:abstractNumId w:val="6"/>
  </w:num>
  <w:num w:numId="12" w16cid:durableId="1414738191">
    <w:abstractNumId w:val="10"/>
  </w:num>
  <w:num w:numId="13" w16cid:durableId="990595536">
    <w:abstractNumId w:val="13"/>
  </w:num>
  <w:num w:numId="14" w16cid:durableId="458229519">
    <w:abstractNumId w:val="18"/>
  </w:num>
  <w:num w:numId="15" w16cid:durableId="1562323368">
    <w:abstractNumId w:val="11"/>
  </w:num>
  <w:num w:numId="16" w16cid:durableId="1506937023">
    <w:abstractNumId w:val="9"/>
  </w:num>
  <w:num w:numId="17" w16cid:durableId="159852694">
    <w:abstractNumId w:val="12"/>
  </w:num>
  <w:num w:numId="18" w16cid:durableId="1199859801">
    <w:abstractNumId w:val="16"/>
  </w:num>
  <w:num w:numId="19" w16cid:durableId="18980073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021"/>
    <w:rsid w:val="0000367D"/>
    <w:rsid w:val="000036FA"/>
    <w:rsid w:val="00006DF6"/>
    <w:rsid w:val="000104F1"/>
    <w:rsid w:val="00013D79"/>
    <w:rsid w:val="000144DE"/>
    <w:rsid w:val="000148D5"/>
    <w:rsid w:val="00015ECF"/>
    <w:rsid w:val="00016904"/>
    <w:rsid w:val="00016AEF"/>
    <w:rsid w:val="000201C7"/>
    <w:rsid w:val="00022D30"/>
    <w:rsid w:val="00027655"/>
    <w:rsid w:val="00027B1B"/>
    <w:rsid w:val="00030244"/>
    <w:rsid w:val="00030D12"/>
    <w:rsid w:val="00032DDC"/>
    <w:rsid w:val="00034DCE"/>
    <w:rsid w:val="00034F94"/>
    <w:rsid w:val="0003716D"/>
    <w:rsid w:val="00041C55"/>
    <w:rsid w:val="00044210"/>
    <w:rsid w:val="000447C3"/>
    <w:rsid w:val="000515BA"/>
    <w:rsid w:val="00055DE2"/>
    <w:rsid w:val="00057E62"/>
    <w:rsid w:val="00060399"/>
    <w:rsid w:val="00067C88"/>
    <w:rsid w:val="0007129E"/>
    <w:rsid w:val="00073021"/>
    <w:rsid w:val="0007379A"/>
    <w:rsid w:val="00073D17"/>
    <w:rsid w:val="0007427E"/>
    <w:rsid w:val="00075ADA"/>
    <w:rsid w:val="00081F99"/>
    <w:rsid w:val="00082283"/>
    <w:rsid w:val="000822B7"/>
    <w:rsid w:val="00083444"/>
    <w:rsid w:val="00084B23"/>
    <w:rsid w:val="00084C5B"/>
    <w:rsid w:val="00087338"/>
    <w:rsid w:val="00087394"/>
    <w:rsid w:val="00090C33"/>
    <w:rsid w:val="00091478"/>
    <w:rsid w:val="00097666"/>
    <w:rsid w:val="000A12EA"/>
    <w:rsid w:val="000A1A21"/>
    <w:rsid w:val="000A2140"/>
    <w:rsid w:val="000A23D5"/>
    <w:rsid w:val="000A2BB4"/>
    <w:rsid w:val="000A4A96"/>
    <w:rsid w:val="000B04C4"/>
    <w:rsid w:val="000B2812"/>
    <w:rsid w:val="000B3169"/>
    <w:rsid w:val="000B349F"/>
    <w:rsid w:val="000B7B31"/>
    <w:rsid w:val="000C0951"/>
    <w:rsid w:val="000C251D"/>
    <w:rsid w:val="000C40FF"/>
    <w:rsid w:val="000C472D"/>
    <w:rsid w:val="000C4D22"/>
    <w:rsid w:val="000C6A32"/>
    <w:rsid w:val="000D0511"/>
    <w:rsid w:val="000D0FED"/>
    <w:rsid w:val="000D15F1"/>
    <w:rsid w:val="000D173E"/>
    <w:rsid w:val="000D2206"/>
    <w:rsid w:val="000D3C68"/>
    <w:rsid w:val="000D3D10"/>
    <w:rsid w:val="000D448C"/>
    <w:rsid w:val="000D4DEB"/>
    <w:rsid w:val="000D5772"/>
    <w:rsid w:val="000D6D65"/>
    <w:rsid w:val="000D70F0"/>
    <w:rsid w:val="000E1B07"/>
    <w:rsid w:val="000E1B94"/>
    <w:rsid w:val="000E27D8"/>
    <w:rsid w:val="000E4469"/>
    <w:rsid w:val="000E63A4"/>
    <w:rsid w:val="000E64BF"/>
    <w:rsid w:val="000E7A9D"/>
    <w:rsid w:val="000E7D67"/>
    <w:rsid w:val="000F085F"/>
    <w:rsid w:val="000F0ABA"/>
    <w:rsid w:val="000F1FC0"/>
    <w:rsid w:val="000F5ADA"/>
    <w:rsid w:val="000F60F5"/>
    <w:rsid w:val="000F6137"/>
    <w:rsid w:val="000F79F5"/>
    <w:rsid w:val="000F7F29"/>
    <w:rsid w:val="00100DA8"/>
    <w:rsid w:val="00101E36"/>
    <w:rsid w:val="00102077"/>
    <w:rsid w:val="00102934"/>
    <w:rsid w:val="001043D5"/>
    <w:rsid w:val="001052E8"/>
    <w:rsid w:val="001055B9"/>
    <w:rsid w:val="00106BCC"/>
    <w:rsid w:val="00110769"/>
    <w:rsid w:val="001122D2"/>
    <w:rsid w:val="00114B38"/>
    <w:rsid w:val="001169AB"/>
    <w:rsid w:val="00121E69"/>
    <w:rsid w:val="001224FC"/>
    <w:rsid w:val="001244C4"/>
    <w:rsid w:val="00125CFD"/>
    <w:rsid w:val="00132374"/>
    <w:rsid w:val="00133EE1"/>
    <w:rsid w:val="001377FD"/>
    <w:rsid w:val="00141A4B"/>
    <w:rsid w:val="0014287D"/>
    <w:rsid w:val="00146942"/>
    <w:rsid w:val="001506FA"/>
    <w:rsid w:val="0015149E"/>
    <w:rsid w:val="00152181"/>
    <w:rsid w:val="00152AED"/>
    <w:rsid w:val="0015307B"/>
    <w:rsid w:val="00153C69"/>
    <w:rsid w:val="00153EFF"/>
    <w:rsid w:val="00156B07"/>
    <w:rsid w:val="00160130"/>
    <w:rsid w:val="00160517"/>
    <w:rsid w:val="001642BA"/>
    <w:rsid w:val="001642EF"/>
    <w:rsid w:val="00170037"/>
    <w:rsid w:val="00170155"/>
    <w:rsid w:val="001706D0"/>
    <w:rsid w:val="00174613"/>
    <w:rsid w:val="00174767"/>
    <w:rsid w:val="001760AD"/>
    <w:rsid w:val="00176786"/>
    <w:rsid w:val="001803A9"/>
    <w:rsid w:val="00180798"/>
    <w:rsid w:val="00180B4E"/>
    <w:rsid w:val="00183652"/>
    <w:rsid w:val="00184C59"/>
    <w:rsid w:val="0018604A"/>
    <w:rsid w:val="00190A89"/>
    <w:rsid w:val="0019100B"/>
    <w:rsid w:val="00192412"/>
    <w:rsid w:val="00192DBC"/>
    <w:rsid w:val="001A0CA3"/>
    <w:rsid w:val="001A1F95"/>
    <w:rsid w:val="001A21BD"/>
    <w:rsid w:val="001A3A63"/>
    <w:rsid w:val="001A6250"/>
    <w:rsid w:val="001A67DE"/>
    <w:rsid w:val="001B2769"/>
    <w:rsid w:val="001C1BB0"/>
    <w:rsid w:val="001C3B4F"/>
    <w:rsid w:val="001C4F38"/>
    <w:rsid w:val="001C7398"/>
    <w:rsid w:val="001D19AA"/>
    <w:rsid w:val="001D2D8D"/>
    <w:rsid w:val="001D55B8"/>
    <w:rsid w:val="001D72B9"/>
    <w:rsid w:val="001E0367"/>
    <w:rsid w:val="001E0C07"/>
    <w:rsid w:val="001E3CDA"/>
    <w:rsid w:val="001E644C"/>
    <w:rsid w:val="001E7FD0"/>
    <w:rsid w:val="001F0084"/>
    <w:rsid w:val="001F5D7C"/>
    <w:rsid w:val="001F603E"/>
    <w:rsid w:val="001F678E"/>
    <w:rsid w:val="001F75C9"/>
    <w:rsid w:val="002034A9"/>
    <w:rsid w:val="00205AB5"/>
    <w:rsid w:val="002064C6"/>
    <w:rsid w:val="002069BD"/>
    <w:rsid w:val="002107FB"/>
    <w:rsid w:val="0021479A"/>
    <w:rsid w:val="00216593"/>
    <w:rsid w:val="002167F4"/>
    <w:rsid w:val="00216D49"/>
    <w:rsid w:val="00217AEE"/>
    <w:rsid w:val="002206F0"/>
    <w:rsid w:val="00221EB4"/>
    <w:rsid w:val="00222CB5"/>
    <w:rsid w:val="00223DB9"/>
    <w:rsid w:val="002243EC"/>
    <w:rsid w:val="00225B99"/>
    <w:rsid w:val="00226F39"/>
    <w:rsid w:val="00227E5A"/>
    <w:rsid w:val="002377DE"/>
    <w:rsid w:val="002379C7"/>
    <w:rsid w:val="002402DD"/>
    <w:rsid w:val="002436C7"/>
    <w:rsid w:val="002448EC"/>
    <w:rsid w:val="002451CB"/>
    <w:rsid w:val="0024622D"/>
    <w:rsid w:val="00251FB1"/>
    <w:rsid w:val="002545F4"/>
    <w:rsid w:val="002568D7"/>
    <w:rsid w:val="00261308"/>
    <w:rsid w:val="00262EFA"/>
    <w:rsid w:val="0026474F"/>
    <w:rsid w:val="00265258"/>
    <w:rsid w:val="00265274"/>
    <w:rsid w:val="0026565A"/>
    <w:rsid w:val="00265C1D"/>
    <w:rsid w:val="002728B1"/>
    <w:rsid w:val="00272C16"/>
    <w:rsid w:val="002740E7"/>
    <w:rsid w:val="00275669"/>
    <w:rsid w:val="00281902"/>
    <w:rsid w:val="00283C37"/>
    <w:rsid w:val="00283EE5"/>
    <w:rsid w:val="0028478B"/>
    <w:rsid w:val="002857D3"/>
    <w:rsid w:val="00285DAF"/>
    <w:rsid w:val="002867D4"/>
    <w:rsid w:val="00287AA2"/>
    <w:rsid w:val="00287ADD"/>
    <w:rsid w:val="00291A71"/>
    <w:rsid w:val="00292278"/>
    <w:rsid w:val="00293AEC"/>
    <w:rsid w:val="00296683"/>
    <w:rsid w:val="00297729"/>
    <w:rsid w:val="002A1F44"/>
    <w:rsid w:val="002A3AC6"/>
    <w:rsid w:val="002A4611"/>
    <w:rsid w:val="002A591E"/>
    <w:rsid w:val="002A7EC9"/>
    <w:rsid w:val="002B09BF"/>
    <w:rsid w:val="002B18E7"/>
    <w:rsid w:val="002C46CD"/>
    <w:rsid w:val="002C48D0"/>
    <w:rsid w:val="002C7C47"/>
    <w:rsid w:val="002D056E"/>
    <w:rsid w:val="002D3B17"/>
    <w:rsid w:val="002D3D07"/>
    <w:rsid w:val="002D55A0"/>
    <w:rsid w:val="002D699D"/>
    <w:rsid w:val="002E0E1F"/>
    <w:rsid w:val="002E14BD"/>
    <w:rsid w:val="002E2A3B"/>
    <w:rsid w:val="002E2DC4"/>
    <w:rsid w:val="002E57E8"/>
    <w:rsid w:val="002E687D"/>
    <w:rsid w:val="002F041B"/>
    <w:rsid w:val="002F1F9B"/>
    <w:rsid w:val="002F214B"/>
    <w:rsid w:val="002F271D"/>
    <w:rsid w:val="002F3E87"/>
    <w:rsid w:val="002F721A"/>
    <w:rsid w:val="003012EB"/>
    <w:rsid w:val="00302A97"/>
    <w:rsid w:val="00302F3C"/>
    <w:rsid w:val="00303239"/>
    <w:rsid w:val="0030787F"/>
    <w:rsid w:val="00310852"/>
    <w:rsid w:val="00312913"/>
    <w:rsid w:val="00313B9B"/>
    <w:rsid w:val="00316AD4"/>
    <w:rsid w:val="0031749E"/>
    <w:rsid w:val="00320A8D"/>
    <w:rsid w:val="00321B4F"/>
    <w:rsid w:val="00324F78"/>
    <w:rsid w:val="00332798"/>
    <w:rsid w:val="00332DA9"/>
    <w:rsid w:val="00335CA1"/>
    <w:rsid w:val="0033601E"/>
    <w:rsid w:val="00341D4F"/>
    <w:rsid w:val="00342768"/>
    <w:rsid w:val="00342CFB"/>
    <w:rsid w:val="00344086"/>
    <w:rsid w:val="0034629C"/>
    <w:rsid w:val="00350CBD"/>
    <w:rsid w:val="003542FC"/>
    <w:rsid w:val="0035694B"/>
    <w:rsid w:val="0035738C"/>
    <w:rsid w:val="00357E91"/>
    <w:rsid w:val="00360828"/>
    <w:rsid w:val="00363A99"/>
    <w:rsid w:val="00365C25"/>
    <w:rsid w:val="003666D8"/>
    <w:rsid w:val="00366926"/>
    <w:rsid w:val="0037006C"/>
    <w:rsid w:val="00371DDD"/>
    <w:rsid w:val="003744C8"/>
    <w:rsid w:val="003757EF"/>
    <w:rsid w:val="00375D96"/>
    <w:rsid w:val="003823C3"/>
    <w:rsid w:val="0038244A"/>
    <w:rsid w:val="00383647"/>
    <w:rsid w:val="00384712"/>
    <w:rsid w:val="00385100"/>
    <w:rsid w:val="00390627"/>
    <w:rsid w:val="00393598"/>
    <w:rsid w:val="00393F1F"/>
    <w:rsid w:val="00394ADB"/>
    <w:rsid w:val="0039646E"/>
    <w:rsid w:val="003967CE"/>
    <w:rsid w:val="003A191E"/>
    <w:rsid w:val="003A5398"/>
    <w:rsid w:val="003A5FB4"/>
    <w:rsid w:val="003B0B10"/>
    <w:rsid w:val="003B2882"/>
    <w:rsid w:val="003B4D59"/>
    <w:rsid w:val="003B519E"/>
    <w:rsid w:val="003B5656"/>
    <w:rsid w:val="003B5B85"/>
    <w:rsid w:val="003B691A"/>
    <w:rsid w:val="003B740D"/>
    <w:rsid w:val="003B7D11"/>
    <w:rsid w:val="003C12E3"/>
    <w:rsid w:val="003C1C2F"/>
    <w:rsid w:val="003C22F2"/>
    <w:rsid w:val="003C2A3F"/>
    <w:rsid w:val="003C55DF"/>
    <w:rsid w:val="003D01F3"/>
    <w:rsid w:val="003D146C"/>
    <w:rsid w:val="003D26DA"/>
    <w:rsid w:val="003D28DD"/>
    <w:rsid w:val="003D4763"/>
    <w:rsid w:val="003D5051"/>
    <w:rsid w:val="003D72ED"/>
    <w:rsid w:val="003D7385"/>
    <w:rsid w:val="003E19C5"/>
    <w:rsid w:val="003E4E62"/>
    <w:rsid w:val="003E5135"/>
    <w:rsid w:val="003E5DF1"/>
    <w:rsid w:val="003F0E17"/>
    <w:rsid w:val="003F1640"/>
    <w:rsid w:val="003F5F69"/>
    <w:rsid w:val="003F64F8"/>
    <w:rsid w:val="003F6510"/>
    <w:rsid w:val="003F6FE7"/>
    <w:rsid w:val="004009EA"/>
    <w:rsid w:val="00401A3D"/>
    <w:rsid w:val="0040367A"/>
    <w:rsid w:val="0040418E"/>
    <w:rsid w:val="00405906"/>
    <w:rsid w:val="00406C60"/>
    <w:rsid w:val="00411CE5"/>
    <w:rsid w:val="004159A1"/>
    <w:rsid w:val="00417E4E"/>
    <w:rsid w:val="0043554D"/>
    <w:rsid w:val="00437951"/>
    <w:rsid w:val="00442B94"/>
    <w:rsid w:val="00444ADA"/>
    <w:rsid w:val="00450058"/>
    <w:rsid w:val="00455885"/>
    <w:rsid w:val="00455B9F"/>
    <w:rsid w:val="00455BA6"/>
    <w:rsid w:val="00457E57"/>
    <w:rsid w:val="00461175"/>
    <w:rsid w:val="0046283E"/>
    <w:rsid w:val="00466D46"/>
    <w:rsid w:val="00470444"/>
    <w:rsid w:val="0048342C"/>
    <w:rsid w:val="004834CF"/>
    <w:rsid w:val="00484969"/>
    <w:rsid w:val="00486C23"/>
    <w:rsid w:val="004934E9"/>
    <w:rsid w:val="004A313E"/>
    <w:rsid w:val="004A6E3A"/>
    <w:rsid w:val="004A7F12"/>
    <w:rsid w:val="004B0DAF"/>
    <w:rsid w:val="004B18C4"/>
    <w:rsid w:val="004B2EEC"/>
    <w:rsid w:val="004B6385"/>
    <w:rsid w:val="004B7742"/>
    <w:rsid w:val="004C0B63"/>
    <w:rsid w:val="004D37DC"/>
    <w:rsid w:val="004D60E4"/>
    <w:rsid w:val="004E1AD4"/>
    <w:rsid w:val="004E4418"/>
    <w:rsid w:val="004E73C2"/>
    <w:rsid w:val="004E7544"/>
    <w:rsid w:val="004F4305"/>
    <w:rsid w:val="004F7524"/>
    <w:rsid w:val="00502098"/>
    <w:rsid w:val="00502870"/>
    <w:rsid w:val="00502A2A"/>
    <w:rsid w:val="0050330A"/>
    <w:rsid w:val="00503783"/>
    <w:rsid w:val="00505312"/>
    <w:rsid w:val="00505612"/>
    <w:rsid w:val="00511C4A"/>
    <w:rsid w:val="00514399"/>
    <w:rsid w:val="00521200"/>
    <w:rsid w:val="00523321"/>
    <w:rsid w:val="0052392F"/>
    <w:rsid w:val="00526146"/>
    <w:rsid w:val="00526FA4"/>
    <w:rsid w:val="0053087F"/>
    <w:rsid w:val="005333B2"/>
    <w:rsid w:val="00533D1D"/>
    <w:rsid w:val="00533DAB"/>
    <w:rsid w:val="00536F2D"/>
    <w:rsid w:val="00545DD6"/>
    <w:rsid w:val="005525F7"/>
    <w:rsid w:val="00552E85"/>
    <w:rsid w:val="00553CAB"/>
    <w:rsid w:val="00557A6A"/>
    <w:rsid w:val="005601F2"/>
    <w:rsid w:val="00561292"/>
    <w:rsid w:val="005649A6"/>
    <w:rsid w:val="0057316E"/>
    <w:rsid w:val="00573536"/>
    <w:rsid w:val="005736F1"/>
    <w:rsid w:val="00573717"/>
    <w:rsid w:val="00577198"/>
    <w:rsid w:val="00581C38"/>
    <w:rsid w:val="00581D41"/>
    <w:rsid w:val="00584CA1"/>
    <w:rsid w:val="00590907"/>
    <w:rsid w:val="00594103"/>
    <w:rsid w:val="005954EE"/>
    <w:rsid w:val="00595A67"/>
    <w:rsid w:val="00595A8D"/>
    <w:rsid w:val="00596141"/>
    <w:rsid w:val="00597F0C"/>
    <w:rsid w:val="005A2A95"/>
    <w:rsid w:val="005A357D"/>
    <w:rsid w:val="005A3E0B"/>
    <w:rsid w:val="005A502B"/>
    <w:rsid w:val="005B0DD1"/>
    <w:rsid w:val="005B26C1"/>
    <w:rsid w:val="005B3483"/>
    <w:rsid w:val="005B3A83"/>
    <w:rsid w:val="005B5E36"/>
    <w:rsid w:val="005B5F00"/>
    <w:rsid w:val="005C39E2"/>
    <w:rsid w:val="005C45DD"/>
    <w:rsid w:val="005C72A9"/>
    <w:rsid w:val="005D093E"/>
    <w:rsid w:val="005D4985"/>
    <w:rsid w:val="005D6776"/>
    <w:rsid w:val="005D7000"/>
    <w:rsid w:val="005D701A"/>
    <w:rsid w:val="005D74A7"/>
    <w:rsid w:val="005D7609"/>
    <w:rsid w:val="005E0154"/>
    <w:rsid w:val="005E19FE"/>
    <w:rsid w:val="005E22CA"/>
    <w:rsid w:val="005E2605"/>
    <w:rsid w:val="005E34AB"/>
    <w:rsid w:val="005E49C8"/>
    <w:rsid w:val="005E5F77"/>
    <w:rsid w:val="005E6E81"/>
    <w:rsid w:val="005F242B"/>
    <w:rsid w:val="005F3A38"/>
    <w:rsid w:val="005F4B2D"/>
    <w:rsid w:val="005F522E"/>
    <w:rsid w:val="005F78EC"/>
    <w:rsid w:val="0060633A"/>
    <w:rsid w:val="0061172A"/>
    <w:rsid w:val="00612894"/>
    <w:rsid w:val="006159BF"/>
    <w:rsid w:val="006208A8"/>
    <w:rsid w:val="00620B61"/>
    <w:rsid w:val="006224D9"/>
    <w:rsid w:val="00622E60"/>
    <w:rsid w:val="00622F76"/>
    <w:rsid w:val="0062565F"/>
    <w:rsid w:val="00625F3E"/>
    <w:rsid w:val="00626C8B"/>
    <w:rsid w:val="006278CF"/>
    <w:rsid w:val="006336C5"/>
    <w:rsid w:val="0063687E"/>
    <w:rsid w:val="00637840"/>
    <w:rsid w:val="00641B76"/>
    <w:rsid w:val="006429C7"/>
    <w:rsid w:val="00643327"/>
    <w:rsid w:val="00645AB7"/>
    <w:rsid w:val="006466D3"/>
    <w:rsid w:val="00647E24"/>
    <w:rsid w:val="006526CB"/>
    <w:rsid w:val="00661548"/>
    <w:rsid w:val="006621C4"/>
    <w:rsid w:val="00663384"/>
    <w:rsid w:val="006640F7"/>
    <w:rsid w:val="00665BFF"/>
    <w:rsid w:val="00667E1C"/>
    <w:rsid w:val="00671BAE"/>
    <w:rsid w:val="00672F7D"/>
    <w:rsid w:val="0067389D"/>
    <w:rsid w:val="00674F50"/>
    <w:rsid w:val="00682FD6"/>
    <w:rsid w:val="00684BF6"/>
    <w:rsid w:val="00686E23"/>
    <w:rsid w:val="00687F36"/>
    <w:rsid w:val="00690B6A"/>
    <w:rsid w:val="0069384D"/>
    <w:rsid w:val="00693DFA"/>
    <w:rsid w:val="006A039A"/>
    <w:rsid w:val="006A0855"/>
    <w:rsid w:val="006A3673"/>
    <w:rsid w:val="006A53A0"/>
    <w:rsid w:val="006B14B2"/>
    <w:rsid w:val="006B3058"/>
    <w:rsid w:val="006B3291"/>
    <w:rsid w:val="006B4C6D"/>
    <w:rsid w:val="006B581F"/>
    <w:rsid w:val="006B66C1"/>
    <w:rsid w:val="006B76BC"/>
    <w:rsid w:val="006C3C1B"/>
    <w:rsid w:val="006C4A7A"/>
    <w:rsid w:val="006C5DFA"/>
    <w:rsid w:val="006C6889"/>
    <w:rsid w:val="006C705D"/>
    <w:rsid w:val="006D11B7"/>
    <w:rsid w:val="006D1B8D"/>
    <w:rsid w:val="006D4157"/>
    <w:rsid w:val="006D62BF"/>
    <w:rsid w:val="006D66A0"/>
    <w:rsid w:val="006E1C14"/>
    <w:rsid w:val="006E3726"/>
    <w:rsid w:val="006E7337"/>
    <w:rsid w:val="006F015E"/>
    <w:rsid w:val="006F01F1"/>
    <w:rsid w:val="006F048C"/>
    <w:rsid w:val="006F2B5B"/>
    <w:rsid w:val="006F3F2D"/>
    <w:rsid w:val="006F5311"/>
    <w:rsid w:val="006F60BB"/>
    <w:rsid w:val="007006D3"/>
    <w:rsid w:val="00701F91"/>
    <w:rsid w:val="00702F52"/>
    <w:rsid w:val="00703C0F"/>
    <w:rsid w:val="00703C84"/>
    <w:rsid w:val="00704748"/>
    <w:rsid w:val="00712627"/>
    <w:rsid w:val="007140E1"/>
    <w:rsid w:val="007149F5"/>
    <w:rsid w:val="00714B02"/>
    <w:rsid w:val="00716265"/>
    <w:rsid w:val="00717475"/>
    <w:rsid w:val="00722A93"/>
    <w:rsid w:val="00722FCF"/>
    <w:rsid w:val="0072439E"/>
    <w:rsid w:val="007273CD"/>
    <w:rsid w:val="00727E04"/>
    <w:rsid w:val="00731BCD"/>
    <w:rsid w:val="00731C0A"/>
    <w:rsid w:val="0073343F"/>
    <w:rsid w:val="00733CF3"/>
    <w:rsid w:val="007445D2"/>
    <w:rsid w:val="00750F8F"/>
    <w:rsid w:val="00755176"/>
    <w:rsid w:val="00755816"/>
    <w:rsid w:val="007575EB"/>
    <w:rsid w:val="00760896"/>
    <w:rsid w:val="00760DCE"/>
    <w:rsid w:val="007629AC"/>
    <w:rsid w:val="00763959"/>
    <w:rsid w:val="007656B5"/>
    <w:rsid w:val="007658A3"/>
    <w:rsid w:val="00766EC3"/>
    <w:rsid w:val="00767D07"/>
    <w:rsid w:val="00767E04"/>
    <w:rsid w:val="00770C50"/>
    <w:rsid w:val="007716EB"/>
    <w:rsid w:val="00771DDB"/>
    <w:rsid w:val="007820AB"/>
    <w:rsid w:val="00782AA2"/>
    <w:rsid w:val="00782C52"/>
    <w:rsid w:val="007909DB"/>
    <w:rsid w:val="0079301E"/>
    <w:rsid w:val="0079303B"/>
    <w:rsid w:val="007A0337"/>
    <w:rsid w:val="007A34D1"/>
    <w:rsid w:val="007A6FE8"/>
    <w:rsid w:val="007B0387"/>
    <w:rsid w:val="007B04CD"/>
    <w:rsid w:val="007B0973"/>
    <w:rsid w:val="007B3FFD"/>
    <w:rsid w:val="007B44F5"/>
    <w:rsid w:val="007B5432"/>
    <w:rsid w:val="007C1E61"/>
    <w:rsid w:val="007C21D0"/>
    <w:rsid w:val="007C274C"/>
    <w:rsid w:val="007C28F2"/>
    <w:rsid w:val="007C2DCB"/>
    <w:rsid w:val="007D1284"/>
    <w:rsid w:val="007D19CB"/>
    <w:rsid w:val="007D1F38"/>
    <w:rsid w:val="007D5C20"/>
    <w:rsid w:val="007E05FD"/>
    <w:rsid w:val="007E0832"/>
    <w:rsid w:val="007E1604"/>
    <w:rsid w:val="007E1E78"/>
    <w:rsid w:val="007E23D3"/>
    <w:rsid w:val="007E2807"/>
    <w:rsid w:val="007E49B1"/>
    <w:rsid w:val="007E5154"/>
    <w:rsid w:val="007E7FA6"/>
    <w:rsid w:val="007F2402"/>
    <w:rsid w:val="007F2C45"/>
    <w:rsid w:val="007F33FC"/>
    <w:rsid w:val="007F51BE"/>
    <w:rsid w:val="007F7B33"/>
    <w:rsid w:val="008017C6"/>
    <w:rsid w:val="0080659C"/>
    <w:rsid w:val="00806FAE"/>
    <w:rsid w:val="0080761D"/>
    <w:rsid w:val="00810973"/>
    <w:rsid w:val="0081101E"/>
    <w:rsid w:val="008154BE"/>
    <w:rsid w:val="00821265"/>
    <w:rsid w:val="00821524"/>
    <w:rsid w:val="0082336B"/>
    <w:rsid w:val="008264ED"/>
    <w:rsid w:val="00826C8D"/>
    <w:rsid w:val="00833880"/>
    <w:rsid w:val="008347CE"/>
    <w:rsid w:val="008356B0"/>
    <w:rsid w:val="00835A55"/>
    <w:rsid w:val="00842A5A"/>
    <w:rsid w:val="008435AA"/>
    <w:rsid w:val="00847F4B"/>
    <w:rsid w:val="008534FA"/>
    <w:rsid w:val="00854CFA"/>
    <w:rsid w:val="008561D8"/>
    <w:rsid w:val="00856C3E"/>
    <w:rsid w:val="008574EE"/>
    <w:rsid w:val="00861187"/>
    <w:rsid w:val="008671C8"/>
    <w:rsid w:val="0086740B"/>
    <w:rsid w:val="00867514"/>
    <w:rsid w:val="00867A8D"/>
    <w:rsid w:val="00871207"/>
    <w:rsid w:val="00872685"/>
    <w:rsid w:val="008737FC"/>
    <w:rsid w:val="00875452"/>
    <w:rsid w:val="00876E8F"/>
    <w:rsid w:val="00877726"/>
    <w:rsid w:val="00883728"/>
    <w:rsid w:val="00885BF7"/>
    <w:rsid w:val="0088776F"/>
    <w:rsid w:val="00890640"/>
    <w:rsid w:val="008915C8"/>
    <w:rsid w:val="00894A69"/>
    <w:rsid w:val="00897C53"/>
    <w:rsid w:val="008A0939"/>
    <w:rsid w:val="008A1836"/>
    <w:rsid w:val="008A187F"/>
    <w:rsid w:val="008A2A2D"/>
    <w:rsid w:val="008A2C15"/>
    <w:rsid w:val="008A2E95"/>
    <w:rsid w:val="008A369B"/>
    <w:rsid w:val="008A3776"/>
    <w:rsid w:val="008A6105"/>
    <w:rsid w:val="008A63DA"/>
    <w:rsid w:val="008B21FA"/>
    <w:rsid w:val="008B47E8"/>
    <w:rsid w:val="008B5946"/>
    <w:rsid w:val="008C0E44"/>
    <w:rsid w:val="008C21E9"/>
    <w:rsid w:val="008C3760"/>
    <w:rsid w:val="008C469D"/>
    <w:rsid w:val="008C5F59"/>
    <w:rsid w:val="008C6303"/>
    <w:rsid w:val="008C6869"/>
    <w:rsid w:val="008C72A8"/>
    <w:rsid w:val="008D1D03"/>
    <w:rsid w:val="008D20B2"/>
    <w:rsid w:val="008D3676"/>
    <w:rsid w:val="008D43B8"/>
    <w:rsid w:val="008E03CC"/>
    <w:rsid w:val="008E2223"/>
    <w:rsid w:val="008E31FA"/>
    <w:rsid w:val="008E61D8"/>
    <w:rsid w:val="008F1B78"/>
    <w:rsid w:val="008F4B2F"/>
    <w:rsid w:val="008F6250"/>
    <w:rsid w:val="0090193F"/>
    <w:rsid w:val="00903D7C"/>
    <w:rsid w:val="009047EA"/>
    <w:rsid w:val="00906167"/>
    <w:rsid w:val="009077B8"/>
    <w:rsid w:val="00913838"/>
    <w:rsid w:val="009141B7"/>
    <w:rsid w:val="009146B0"/>
    <w:rsid w:val="00917759"/>
    <w:rsid w:val="00917EC9"/>
    <w:rsid w:val="00921724"/>
    <w:rsid w:val="00922F52"/>
    <w:rsid w:val="009256DC"/>
    <w:rsid w:val="0093339D"/>
    <w:rsid w:val="009353E7"/>
    <w:rsid w:val="00937AEF"/>
    <w:rsid w:val="009420BA"/>
    <w:rsid w:val="0094272A"/>
    <w:rsid w:val="009429E2"/>
    <w:rsid w:val="00942B57"/>
    <w:rsid w:val="00942EF1"/>
    <w:rsid w:val="009438C9"/>
    <w:rsid w:val="0094707F"/>
    <w:rsid w:val="00947797"/>
    <w:rsid w:val="00951430"/>
    <w:rsid w:val="00953BB5"/>
    <w:rsid w:val="00955E9C"/>
    <w:rsid w:val="00960119"/>
    <w:rsid w:val="00964212"/>
    <w:rsid w:val="00964EB1"/>
    <w:rsid w:val="00966CF0"/>
    <w:rsid w:val="00970993"/>
    <w:rsid w:val="00971BD3"/>
    <w:rsid w:val="00972712"/>
    <w:rsid w:val="00973BF3"/>
    <w:rsid w:val="00982917"/>
    <w:rsid w:val="0098385E"/>
    <w:rsid w:val="00991D64"/>
    <w:rsid w:val="00995444"/>
    <w:rsid w:val="00995955"/>
    <w:rsid w:val="0099746D"/>
    <w:rsid w:val="00997CAF"/>
    <w:rsid w:val="00997CE3"/>
    <w:rsid w:val="009A031D"/>
    <w:rsid w:val="009A4ACC"/>
    <w:rsid w:val="009A4D6C"/>
    <w:rsid w:val="009A788B"/>
    <w:rsid w:val="009B229A"/>
    <w:rsid w:val="009B6EBA"/>
    <w:rsid w:val="009B7FD5"/>
    <w:rsid w:val="009C20DC"/>
    <w:rsid w:val="009C220A"/>
    <w:rsid w:val="009C323D"/>
    <w:rsid w:val="009C4C7C"/>
    <w:rsid w:val="009C74A0"/>
    <w:rsid w:val="009D2DB7"/>
    <w:rsid w:val="009D4D51"/>
    <w:rsid w:val="009D6A93"/>
    <w:rsid w:val="009E1ED0"/>
    <w:rsid w:val="009E22DA"/>
    <w:rsid w:val="009E2C80"/>
    <w:rsid w:val="009E3C9D"/>
    <w:rsid w:val="009E3F51"/>
    <w:rsid w:val="009E41CC"/>
    <w:rsid w:val="009E42A9"/>
    <w:rsid w:val="009E48CC"/>
    <w:rsid w:val="009F1953"/>
    <w:rsid w:val="009F26E0"/>
    <w:rsid w:val="009F6679"/>
    <w:rsid w:val="009F6A5D"/>
    <w:rsid w:val="009F7971"/>
    <w:rsid w:val="00A00751"/>
    <w:rsid w:val="00A0637D"/>
    <w:rsid w:val="00A11EB2"/>
    <w:rsid w:val="00A134AC"/>
    <w:rsid w:val="00A14C1D"/>
    <w:rsid w:val="00A1727C"/>
    <w:rsid w:val="00A237DE"/>
    <w:rsid w:val="00A24EC9"/>
    <w:rsid w:val="00A32D61"/>
    <w:rsid w:val="00A33C92"/>
    <w:rsid w:val="00A3477C"/>
    <w:rsid w:val="00A366A4"/>
    <w:rsid w:val="00A3672A"/>
    <w:rsid w:val="00A37251"/>
    <w:rsid w:val="00A40015"/>
    <w:rsid w:val="00A400B8"/>
    <w:rsid w:val="00A41CA7"/>
    <w:rsid w:val="00A44DC3"/>
    <w:rsid w:val="00A5087F"/>
    <w:rsid w:val="00A50E35"/>
    <w:rsid w:val="00A513FB"/>
    <w:rsid w:val="00A537E5"/>
    <w:rsid w:val="00A54440"/>
    <w:rsid w:val="00A5688F"/>
    <w:rsid w:val="00A56C0B"/>
    <w:rsid w:val="00A57A69"/>
    <w:rsid w:val="00A6350E"/>
    <w:rsid w:val="00A702BD"/>
    <w:rsid w:val="00A7505C"/>
    <w:rsid w:val="00A771E3"/>
    <w:rsid w:val="00A82835"/>
    <w:rsid w:val="00A850D7"/>
    <w:rsid w:val="00A859EC"/>
    <w:rsid w:val="00A8797A"/>
    <w:rsid w:val="00A90072"/>
    <w:rsid w:val="00A942C9"/>
    <w:rsid w:val="00A94375"/>
    <w:rsid w:val="00A94BDA"/>
    <w:rsid w:val="00A94E11"/>
    <w:rsid w:val="00A95368"/>
    <w:rsid w:val="00A955C3"/>
    <w:rsid w:val="00A97DC5"/>
    <w:rsid w:val="00AA560F"/>
    <w:rsid w:val="00AA6193"/>
    <w:rsid w:val="00AA7C1B"/>
    <w:rsid w:val="00AA7CE1"/>
    <w:rsid w:val="00AB1F19"/>
    <w:rsid w:val="00AB214C"/>
    <w:rsid w:val="00AB26C2"/>
    <w:rsid w:val="00AB5846"/>
    <w:rsid w:val="00AB5C7D"/>
    <w:rsid w:val="00AB5E7F"/>
    <w:rsid w:val="00AC36CA"/>
    <w:rsid w:val="00AC4ACB"/>
    <w:rsid w:val="00AC5B09"/>
    <w:rsid w:val="00AC7704"/>
    <w:rsid w:val="00AD159E"/>
    <w:rsid w:val="00AD26A4"/>
    <w:rsid w:val="00AD28E7"/>
    <w:rsid w:val="00AD2EC9"/>
    <w:rsid w:val="00AD5A1F"/>
    <w:rsid w:val="00AD6A70"/>
    <w:rsid w:val="00AD745C"/>
    <w:rsid w:val="00AE034A"/>
    <w:rsid w:val="00AE0D34"/>
    <w:rsid w:val="00AE2C9B"/>
    <w:rsid w:val="00AE4F51"/>
    <w:rsid w:val="00AE695B"/>
    <w:rsid w:val="00AF15B7"/>
    <w:rsid w:val="00AF1E8E"/>
    <w:rsid w:val="00AF476F"/>
    <w:rsid w:val="00AF482D"/>
    <w:rsid w:val="00AF5F01"/>
    <w:rsid w:val="00AF78A1"/>
    <w:rsid w:val="00B027FA"/>
    <w:rsid w:val="00B07470"/>
    <w:rsid w:val="00B1211C"/>
    <w:rsid w:val="00B1375F"/>
    <w:rsid w:val="00B150C4"/>
    <w:rsid w:val="00B169A4"/>
    <w:rsid w:val="00B17324"/>
    <w:rsid w:val="00B22672"/>
    <w:rsid w:val="00B23016"/>
    <w:rsid w:val="00B24BF7"/>
    <w:rsid w:val="00B26795"/>
    <w:rsid w:val="00B350BB"/>
    <w:rsid w:val="00B3623B"/>
    <w:rsid w:val="00B418C1"/>
    <w:rsid w:val="00B41D4A"/>
    <w:rsid w:val="00B426CD"/>
    <w:rsid w:val="00B524D7"/>
    <w:rsid w:val="00B5360A"/>
    <w:rsid w:val="00B542FD"/>
    <w:rsid w:val="00B559C1"/>
    <w:rsid w:val="00B55CF2"/>
    <w:rsid w:val="00B563A8"/>
    <w:rsid w:val="00B56721"/>
    <w:rsid w:val="00B57602"/>
    <w:rsid w:val="00B60C05"/>
    <w:rsid w:val="00B6278C"/>
    <w:rsid w:val="00B62CAF"/>
    <w:rsid w:val="00B62DAF"/>
    <w:rsid w:val="00B6510C"/>
    <w:rsid w:val="00B757AE"/>
    <w:rsid w:val="00B849E0"/>
    <w:rsid w:val="00B86D61"/>
    <w:rsid w:val="00B90494"/>
    <w:rsid w:val="00B92396"/>
    <w:rsid w:val="00B926D6"/>
    <w:rsid w:val="00B93944"/>
    <w:rsid w:val="00BA05A3"/>
    <w:rsid w:val="00BA0984"/>
    <w:rsid w:val="00BA2C6E"/>
    <w:rsid w:val="00BA4CF1"/>
    <w:rsid w:val="00BA7E36"/>
    <w:rsid w:val="00BB0A49"/>
    <w:rsid w:val="00BB6AAF"/>
    <w:rsid w:val="00BB7229"/>
    <w:rsid w:val="00BC24CE"/>
    <w:rsid w:val="00BC2BB6"/>
    <w:rsid w:val="00BC3A3A"/>
    <w:rsid w:val="00BC4C65"/>
    <w:rsid w:val="00BC70D7"/>
    <w:rsid w:val="00BD082F"/>
    <w:rsid w:val="00BD0A66"/>
    <w:rsid w:val="00BD0AAA"/>
    <w:rsid w:val="00BD1258"/>
    <w:rsid w:val="00BD202E"/>
    <w:rsid w:val="00BD22CA"/>
    <w:rsid w:val="00BD3CC3"/>
    <w:rsid w:val="00BD3FE0"/>
    <w:rsid w:val="00BD585A"/>
    <w:rsid w:val="00BD61B3"/>
    <w:rsid w:val="00BE0BEB"/>
    <w:rsid w:val="00BE1D3F"/>
    <w:rsid w:val="00BE3465"/>
    <w:rsid w:val="00BE5030"/>
    <w:rsid w:val="00BE5828"/>
    <w:rsid w:val="00BE6251"/>
    <w:rsid w:val="00BE631B"/>
    <w:rsid w:val="00BE6E74"/>
    <w:rsid w:val="00BE7146"/>
    <w:rsid w:val="00BF0789"/>
    <w:rsid w:val="00BF1BD3"/>
    <w:rsid w:val="00BF2347"/>
    <w:rsid w:val="00BF7AB3"/>
    <w:rsid w:val="00C00E0D"/>
    <w:rsid w:val="00C01FC1"/>
    <w:rsid w:val="00C03C5B"/>
    <w:rsid w:val="00C04A09"/>
    <w:rsid w:val="00C121AB"/>
    <w:rsid w:val="00C14269"/>
    <w:rsid w:val="00C1484D"/>
    <w:rsid w:val="00C15EDF"/>
    <w:rsid w:val="00C17E44"/>
    <w:rsid w:val="00C20220"/>
    <w:rsid w:val="00C22056"/>
    <w:rsid w:val="00C2266D"/>
    <w:rsid w:val="00C25B95"/>
    <w:rsid w:val="00C26634"/>
    <w:rsid w:val="00C3049A"/>
    <w:rsid w:val="00C4034F"/>
    <w:rsid w:val="00C4085E"/>
    <w:rsid w:val="00C44257"/>
    <w:rsid w:val="00C456E2"/>
    <w:rsid w:val="00C5024B"/>
    <w:rsid w:val="00C51916"/>
    <w:rsid w:val="00C526DA"/>
    <w:rsid w:val="00C52ADC"/>
    <w:rsid w:val="00C55BCB"/>
    <w:rsid w:val="00C5672F"/>
    <w:rsid w:val="00C57FB6"/>
    <w:rsid w:val="00C60C9D"/>
    <w:rsid w:val="00C60D72"/>
    <w:rsid w:val="00C613EF"/>
    <w:rsid w:val="00C61DFD"/>
    <w:rsid w:val="00C6279B"/>
    <w:rsid w:val="00C628DA"/>
    <w:rsid w:val="00C631B1"/>
    <w:rsid w:val="00C65DBB"/>
    <w:rsid w:val="00C66C91"/>
    <w:rsid w:val="00C723D8"/>
    <w:rsid w:val="00C77E40"/>
    <w:rsid w:val="00C818AA"/>
    <w:rsid w:val="00C82709"/>
    <w:rsid w:val="00C843F0"/>
    <w:rsid w:val="00C8626B"/>
    <w:rsid w:val="00C8662A"/>
    <w:rsid w:val="00C91163"/>
    <w:rsid w:val="00C9159B"/>
    <w:rsid w:val="00C923E3"/>
    <w:rsid w:val="00C9257D"/>
    <w:rsid w:val="00C9377E"/>
    <w:rsid w:val="00C95949"/>
    <w:rsid w:val="00C96293"/>
    <w:rsid w:val="00CA0781"/>
    <w:rsid w:val="00CA231A"/>
    <w:rsid w:val="00CA331E"/>
    <w:rsid w:val="00CA3BC4"/>
    <w:rsid w:val="00CA6A5C"/>
    <w:rsid w:val="00CB2FBF"/>
    <w:rsid w:val="00CB50C5"/>
    <w:rsid w:val="00CB7027"/>
    <w:rsid w:val="00CC0A5C"/>
    <w:rsid w:val="00CC1370"/>
    <w:rsid w:val="00CC2B27"/>
    <w:rsid w:val="00CC3847"/>
    <w:rsid w:val="00CC4C15"/>
    <w:rsid w:val="00CC5B4D"/>
    <w:rsid w:val="00CC5CC4"/>
    <w:rsid w:val="00CC6963"/>
    <w:rsid w:val="00CC6A88"/>
    <w:rsid w:val="00CC6DE9"/>
    <w:rsid w:val="00CD04FA"/>
    <w:rsid w:val="00CD1D94"/>
    <w:rsid w:val="00CD22DC"/>
    <w:rsid w:val="00CD2308"/>
    <w:rsid w:val="00CD5CAA"/>
    <w:rsid w:val="00CD79AA"/>
    <w:rsid w:val="00CE1FD2"/>
    <w:rsid w:val="00CE39A1"/>
    <w:rsid w:val="00CE4826"/>
    <w:rsid w:val="00CE763C"/>
    <w:rsid w:val="00CF29EB"/>
    <w:rsid w:val="00CF66CE"/>
    <w:rsid w:val="00D01C06"/>
    <w:rsid w:val="00D032D4"/>
    <w:rsid w:val="00D12CE6"/>
    <w:rsid w:val="00D1657E"/>
    <w:rsid w:val="00D16FD5"/>
    <w:rsid w:val="00D1765A"/>
    <w:rsid w:val="00D20654"/>
    <w:rsid w:val="00D21787"/>
    <w:rsid w:val="00D23D3D"/>
    <w:rsid w:val="00D24077"/>
    <w:rsid w:val="00D24B27"/>
    <w:rsid w:val="00D25096"/>
    <w:rsid w:val="00D25506"/>
    <w:rsid w:val="00D268D8"/>
    <w:rsid w:val="00D310FF"/>
    <w:rsid w:val="00D321D9"/>
    <w:rsid w:val="00D340FF"/>
    <w:rsid w:val="00D4019C"/>
    <w:rsid w:val="00D409FC"/>
    <w:rsid w:val="00D4354A"/>
    <w:rsid w:val="00D44780"/>
    <w:rsid w:val="00D461DB"/>
    <w:rsid w:val="00D51B38"/>
    <w:rsid w:val="00D54747"/>
    <w:rsid w:val="00D55876"/>
    <w:rsid w:val="00D57191"/>
    <w:rsid w:val="00D576D7"/>
    <w:rsid w:val="00D62D2B"/>
    <w:rsid w:val="00D6303E"/>
    <w:rsid w:val="00D63106"/>
    <w:rsid w:val="00D635EE"/>
    <w:rsid w:val="00D656EF"/>
    <w:rsid w:val="00D66911"/>
    <w:rsid w:val="00D6711E"/>
    <w:rsid w:val="00D721B1"/>
    <w:rsid w:val="00D72470"/>
    <w:rsid w:val="00D73F74"/>
    <w:rsid w:val="00D774DB"/>
    <w:rsid w:val="00D77AEC"/>
    <w:rsid w:val="00D77BCA"/>
    <w:rsid w:val="00D84FA1"/>
    <w:rsid w:val="00D86F87"/>
    <w:rsid w:val="00D87BEC"/>
    <w:rsid w:val="00D94A6B"/>
    <w:rsid w:val="00D9638D"/>
    <w:rsid w:val="00D97EA5"/>
    <w:rsid w:val="00DA4CC1"/>
    <w:rsid w:val="00DA664B"/>
    <w:rsid w:val="00DA76E4"/>
    <w:rsid w:val="00DA7719"/>
    <w:rsid w:val="00DA7B49"/>
    <w:rsid w:val="00DB070B"/>
    <w:rsid w:val="00DB0C09"/>
    <w:rsid w:val="00DB13CD"/>
    <w:rsid w:val="00DB3786"/>
    <w:rsid w:val="00DB42FE"/>
    <w:rsid w:val="00DB77C7"/>
    <w:rsid w:val="00DB7B88"/>
    <w:rsid w:val="00DC060A"/>
    <w:rsid w:val="00DC4D70"/>
    <w:rsid w:val="00DC7D7E"/>
    <w:rsid w:val="00DD4E10"/>
    <w:rsid w:val="00DD5188"/>
    <w:rsid w:val="00DD5311"/>
    <w:rsid w:val="00DD54C2"/>
    <w:rsid w:val="00DD7D27"/>
    <w:rsid w:val="00DD7E3C"/>
    <w:rsid w:val="00DE28C2"/>
    <w:rsid w:val="00DE476A"/>
    <w:rsid w:val="00DE6573"/>
    <w:rsid w:val="00DF1187"/>
    <w:rsid w:val="00DF21BB"/>
    <w:rsid w:val="00DF40DB"/>
    <w:rsid w:val="00DF5DCA"/>
    <w:rsid w:val="00DF5DEB"/>
    <w:rsid w:val="00E00135"/>
    <w:rsid w:val="00E00201"/>
    <w:rsid w:val="00E01439"/>
    <w:rsid w:val="00E017DC"/>
    <w:rsid w:val="00E02BCC"/>
    <w:rsid w:val="00E03417"/>
    <w:rsid w:val="00E05F26"/>
    <w:rsid w:val="00E06437"/>
    <w:rsid w:val="00E1012D"/>
    <w:rsid w:val="00E111A1"/>
    <w:rsid w:val="00E12586"/>
    <w:rsid w:val="00E12FD0"/>
    <w:rsid w:val="00E138E8"/>
    <w:rsid w:val="00E15ACD"/>
    <w:rsid w:val="00E20A02"/>
    <w:rsid w:val="00E23817"/>
    <w:rsid w:val="00E27C79"/>
    <w:rsid w:val="00E33959"/>
    <w:rsid w:val="00E351BA"/>
    <w:rsid w:val="00E35850"/>
    <w:rsid w:val="00E42F8C"/>
    <w:rsid w:val="00E43696"/>
    <w:rsid w:val="00E43DF9"/>
    <w:rsid w:val="00E44EE0"/>
    <w:rsid w:val="00E45C96"/>
    <w:rsid w:val="00E46B18"/>
    <w:rsid w:val="00E5103A"/>
    <w:rsid w:val="00E537EB"/>
    <w:rsid w:val="00E54988"/>
    <w:rsid w:val="00E551FD"/>
    <w:rsid w:val="00E55D20"/>
    <w:rsid w:val="00E56D56"/>
    <w:rsid w:val="00E577FE"/>
    <w:rsid w:val="00E579F2"/>
    <w:rsid w:val="00E6154D"/>
    <w:rsid w:val="00E63A68"/>
    <w:rsid w:val="00E66EB9"/>
    <w:rsid w:val="00E71154"/>
    <w:rsid w:val="00E71577"/>
    <w:rsid w:val="00E7284A"/>
    <w:rsid w:val="00E7420F"/>
    <w:rsid w:val="00E8013B"/>
    <w:rsid w:val="00E81BE6"/>
    <w:rsid w:val="00E86385"/>
    <w:rsid w:val="00E86911"/>
    <w:rsid w:val="00E86D68"/>
    <w:rsid w:val="00E95881"/>
    <w:rsid w:val="00E95F21"/>
    <w:rsid w:val="00E973DE"/>
    <w:rsid w:val="00EA394A"/>
    <w:rsid w:val="00EA4371"/>
    <w:rsid w:val="00EA5E64"/>
    <w:rsid w:val="00EA7933"/>
    <w:rsid w:val="00EB05E9"/>
    <w:rsid w:val="00EB0B1D"/>
    <w:rsid w:val="00EB21EE"/>
    <w:rsid w:val="00EB3B88"/>
    <w:rsid w:val="00EB423E"/>
    <w:rsid w:val="00EB6920"/>
    <w:rsid w:val="00EB6D59"/>
    <w:rsid w:val="00EB7AA0"/>
    <w:rsid w:val="00EB7CEF"/>
    <w:rsid w:val="00EC1BEC"/>
    <w:rsid w:val="00EC26F2"/>
    <w:rsid w:val="00EC41C4"/>
    <w:rsid w:val="00EC5F37"/>
    <w:rsid w:val="00EC6407"/>
    <w:rsid w:val="00EC69EE"/>
    <w:rsid w:val="00ED1043"/>
    <w:rsid w:val="00ED1A07"/>
    <w:rsid w:val="00ED4059"/>
    <w:rsid w:val="00EE1ED0"/>
    <w:rsid w:val="00EE5390"/>
    <w:rsid w:val="00EE7341"/>
    <w:rsid w:val="00EF0C5F"/>
    <w:rsid w:val="00EF45E1"/>
    <w:rsid w:val="00EF60F5"/>
    <w:rsid w:val="00F00AA6"/>
    <w:rsid w:val="00F0178A"/>
    <w:rsid w:val="00F061A9"/>
    <w:rsid w:val="00F10610"/>
    <w:rsid w:val="00F1218E"/>
    <w:rsid w:val="00F14F37"/>
    <w:rsid w:val="00F156D2"/>
    <w:rsid w:val="00F159DD"/>
    <w:rsid w:val="00F1713C"/>
    <w:rsid w:val="00F17DE1"/>
    <w:rsid w:val="00F210A8"/>
    <w:rsid w:val="00F21587"/>
    <w:rsid w:val="00F267BC"/>
    <w:rsid w:val="00F2710E"/>
    <w:rsid w:val="00F27B70"/>
    <w:rsid w:val="00F27C33"/>
    <w:rsid w:val="00F30E90"/>
    <w:rsid w:val="00F31DBE"/>
    <w:rsid w:val="00F335E7"/>
    <w:rsid w:val="00F40B82"/>
    <w:rsid w:val="00F40C36"/>
    <w:rsid w:val="00F415B0"/>
    <w:rsid w:val="00F42D78"/>
    <w:rsid w:val="00F432C0"/>
    <w:rsid w:val="00F43FC9"/>
    <w:rsid w:val="00F455E7"/>
    <w:rsid w:val="00F464EF"/>
    <w:rsid w:val="00F50957"/>
    <w:rsid w:val="00F52D21"/>
    <w:rsid w:val="00F53F04"/>
    <w:rsid w:val="00F544FC"/>
    <w:rsid w:val="00F54A02"/>
    <w:rsid w:val="00F6068C"/>
    <w:rsid w:val="00F613A3"/>
    <w:rsid w:val="00F62350"/>
    <w:rsid w:val="00F63080"/>
    <w:rsid w:val="00F64C48"/>
    <w:rsid w:val="00F66D56"/>
    <w:rsid w:val="00F73DC2"/>
    <w:rsid w:val="00F75294"/>
    <w:rsid w:val="00F75F63"/>
    <w:rsid w:val="00F775FA"/>
    <w:rsid w:val="00F80B80"/>
    <w:rsid w:val="00F81AF4"/>
    <w:rsid w:val="00F82862"/>
    <w:rsid w:val="00F83BC4"/>
    <w:rsid w:val="00F84555"/>
    <w:rsid w:val="00F86836"/>
    <w:rsid w:val="00F86CBE"/>
    <w:rsid w:val="00F936E6"/>
    <w:rsid w:val="00F941E2"/>
    <w:rsid w:val="00F94974"/>
    <w:rsid w:val="00F95565"/>
    <w:rsid w:val="00F969B4"/>
    <w:rsid w:val="00F96E01"/>
    <w:rsid w:val="00F97027"/>
    <w:rsid w:val="00FA22D8"/>
    <w:rsid w:val="00FA4774"/>
    <w:rsid w:val="00FB0448"/>
    <w:rsid w:val="00FB0DA0"/>
    <w:rsid w:val="00FB1193"/>
    <w:rsid w:val="00FB60A2"/>
    <w:rsid w:val="00FB7DFC"/>
    <w:rsid w:val="00FC1264"/>
    <w:rsid w:val="00FC142F"/>
    <w:rsid w:val="00FC3AE8"/>
    <w:rsid w:val="00FC473E"/>
    <w:rsid w:val="00FC5A5A"/>
    <w:rsid w:val="00FC5F16"/>
    <w:rsid w:val="00FD0766"/>
    <w:rsid w:val="00FD27DB"/>
    <w:rsid w:val="00FD5A00"/>
    <w:rsid w:val="00FD6A1F"/>
    <w:rsid w:val="00FE03B4"/>
    <w:rsid w:val="00FE1EAE"/>
    <w:rsid w:val="00FE1F9D"/>
    <w:rsid w:val="00FE3208"/>
    <w:rsid w:val="00FE3671"/>
    <w:rsid w:val="00FE3E09"/>
    <w:rsid w:val="00FE639A"/>
    <w:rsid w:val="00FE6A40"/>
    <w:rsid w:val="00FE701C"/>
    <w:rsid w:val="00FE707B"/>
    <w:rsid w:val="00FF04BF"/>
    <w:rsid w:val="00FF3390"/>
    <w:rsid w:val="00FF3848"/>
    <w:rsid w:val="00FF4D9F"/>
    <w:rsid w:val="00FF77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613059"/>
  <w15:docId w15:val="{B0FB983F-65EB-44A7-A384-19E0C24D9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E7337"/>
    <w:rPr>
      <w:rFonts w:ascii="Arial" w:hAnsi="Arial"/>
      <w:sz w:val="22"/>
    </w:rPr>
  </w:style>
  <w:style w:type="paragraph" w:styleId="Nagwek1">
    <w:name w:val="heading 1"/>
    <w:basedOn w:val="Normalny"/>
    <w:next w:val="Normalny"/>
    <w:qFormat/>
    <w:rsid w:val="00D54747"/>
    <w:pPr>
      <w:keepNext/>
      <w:spacing w:before="240" w:after="60"/>
      <w:outlineLvl w:val="0"/>
    </w:pPr>
    <w:rPr>
      <w:b/>
      <w:kern w:val="28"/>
      <w:sz w:val="28"/>
    </w:rPr>
  </w:style>
  <w:style w:type="paragraph" w:styleId="Nagwek2">
    <w:name w:val="heading 2"/>
    <w:basedOn w:val="Normalny"/>
    <w:next w:val="Normalny"/>
    <w:link w:val="Nagwek2Znak"/>
    <w:qFormat/>
    <w:rsid w:val="00B350BB"/>
    <w:pPr>
      <w:keepNext/>
      <w:spacing w:before="240" w:after="60"/>
      <w:outlineLvl w:val="1"/>
    </w:pPr>
    <w:rPr>
      <w:rFonts w:ascii="Cambria" w:hAnsi="Cambria"/>
      <w:b/>
      <w:bCs/>
      <w:i/>
      <w:iCs/>
      <w:sz w:val="28"/>
      <w:szCs w:val="28"/>
    </w:rPr>
  </w:style>
  <w:style w:type="paragraph" w:styleId="Nagwek4">
    <w:name w:val="heading 4"/>
    <w:basedOn w:val="Normalny"/>
    <w:next w:val="Normalny"/>
    <w:link w:val="Nagwek4Znak"/>
    <w:qFormat/>
    <w:rsid w:val="00B350BB"/>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B350BB"/>
    <w:pPr>
      <w:spacing w:before="240" w:after="60"/>
      <w:outlineLvl w:val="4"/>
    </w:pPr>
    <w:rPr>
      <w:rFonts w:ascii="Calibri" w:hAnsi="Calibri"/>
      <w:b/>
      <w:bCs/>
      <w:i/>
      <w:iCs/>
      <w:sz w:val="26"/>
      <w:szCs w:val="26"/>
    </w:rPr>
  </w:style>
  <w:style w:type="paragraph" w:styleId="Nagwek6">
    <w:name w:val="heading 6"/>
    <w:basedOn w:val="Normalny"/>
    <w:next w:val="Normalny"/>
    <w:link w:val="Nagwek6Znak"/>
    <w:qFormat/>
    <w:rsid w:val="00B350BB"/>
    <w:pPr>
      <w:spacing w:before="240" w:after="60"/>
      <w:outlineLvl w:val="5"/>
    </w:pPr>
    <w:rPr>
      <w:rFonts w:ascii="Calibri" w:hAnsi="Calibri"/>
      <w:b/>
      <w:bCs/>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D54747"/>
    <w:pPr>
      <w:tabs>
        <w:tab w:val="center" w:pos="4536"/>
        <w:tab w:val="right" w:pos="9072"/>
      </w:tabs>
    </w:pPr>
  </w:style>
  <w:style w:type="paragraph" w:styleId="Stopka">
    <w:name w:val="footer"/>
    <w:basedOn w:val="Normalny"/>
    <w:rsid w:val="00D54747"/>
    <w:pPr>
      <w:tabs>
        <w:tab w:val="center" w:pos="4536"/>
        <w:tab w:val="right" w:pos="9072"/>
      </w:tabs>
    </w:pPr>
  </w:style>
  <w:style w:type="character" w:styleId="Hipercze">
    <w:name w:val="Hyperlink"/>
    <w:basedOn w:val="Domylnaczcionkaakapitu"/>
    <w:rsid w:val="00D54747"/>
    <w:rPr>
      <w:color w:val="0000FF"/>
      <w:u w:val="single"/>
    </w:rPr>
  </w:style>
  <w:style w:type="character" w:styleId="UyteHipercze">
    <w:name w:val="FollowedHyperlink"/>
    <w:basedOn w:val="Domylnaczcionkaakapitu"/>
    <w:rsid w:val="00D54747"/>
    <w:rPr>
      <w:color w:val="800080"/>
      <w:u w:val="single"/>
    </w:rPr>
  </w:style>
  <w:style w:type="character" w:styleId="Numerstrony">
    <w:name w:val="page number"/>
    <w:basedOn w:val="Domylnaczcionkaakapitu"/>
    <w:rsid w:val="00D54747"/>
  </w:style>
  <w:style w:type="paragraph" w:styleId="Tekstpodstawowy3">
    <w:name w:val="Body Text 3"/>
    <w:basedOn w:val="Normalny"/>
    <w:rsid w:val="006E7337"/>
    <w:rPr>
      <w:rFonts w:ascii="Times New Roman" w:hAnsi="Times New Roman"/>
      <w:sz w:val="24"/>
    </w:rPr>
  </w:style>
  <w:style w:type="paragraph" w:styleId="Tekstdymka">
    <w:name w:val="Balloon Text"/>
    <w:basedOn w:val="Normalny"/>
    <w:semiHidden/>
    <w:rsid w:val="00D21787"/>
    <w:rPr>
      <w:rFonts w:ascii="Tahoma" w:hAnsi="Tahoma" w:cs="Tahoma"/>
      <w:sz w:val="16"/>
      <w:szCs w:val="16"/>
    </w:rPr>
  </w:style>
  <w:style w:type="character" w:customStyle="1" w:styleId="f11">
    <w:name w:val="f11"/>
    <w:basedOn w:val="Domylnaczcionkaakapitu"/>
    <w:rsid w:val="0061172A"/>
    <w:rPr>
      <w:rFonts w:ascii="Verdana" w:hAnsi="Verdana" w:hint="default"/>
      <w:b w:val="0"/>
      <w:bCs w:val="0"/>
      <w:i w:val="0"/>
      <w:iCs w:val="0"/>
      <w:strike w:val="0"/>
      <w:dstrike w:val="0"/>
      <w:color w:val="777777"/>
      <w:sz w:val="14"/>
      <w:szCs w:val="14"/>
      <w:u w:val="none"/>
      <w:effect w:val="none"/>
    </w:rPr>
  </w:style>
  <w:style w:type="paragraph" w:styleId="Tekstpodstawowy">
    <w:name w:val="Body Text"/>
    <w:basedOn w:val="Normalny"/>
    <w:rsid w:val="002867D4"/>
    <w:pPr>
      <w:spacing w:after="120"/>
    </w:pPr>
  </w:style>
  <w:style w:type="character" w:customStyle="1" w:styleId="coretxt1">
    <w:name w:val="coretxt1"/>
    <w:basedOn w:val="Domylnaczcionkaakapitu"/>
    <w:rsid w:val="00AB5C7D"/>
    <w:rPr>
      <w:rFonts w:ascii="Verdana" w:hAnsi="Verdana" w:hint="default"/>
      <w:color w:val="FFDFE0"/>
      <w:spacing w:val="402"/>
      <w:sz w:val="18"/>
      <w:szCs w:val="18"/>
    </w:rPr>
  </w:style>
  <w:style w:type="paragraph" w:styleId="NormalnyWeb">
    <w:name w:val="Normal (Web)"/>
    <w:basedOn w:val="Normalny"/>
    <w:uiPriority w:val="99"/>
    <w:rsid w:val="00E02BCC"/>
    <w:pPr>
      <w:spacing w:before="100" w:beforeAutospacing="1" w:after="100" w:afterAutospacing="1"/>
    </w:pPr>
    <w:rPr>
      <w:rFonts w:ascii="Times New Roman" w:eastAsia="MS Mincho" w:hAnsi="Times New Roman"/>
      <w:sz w:val="24"/>
      <w:szCs w:val="24"/>
      <w:lang w:eastAsia="ja-JP"/>
    </w:rPr>
  </w:style>
  <w:style w:type="character" w:customStyle="1" w:styleId="paragraphpunkt">
    <w:name w:val="paragraphpunkt"/>
    <w:basedOn w:val="Domylnaczcionkaakapitu"/>
    <w:rsid w:val="009429E2"/>
  </w:style>
  <w:style w:type="character" w:customStyle="1" w:styleId="akapitdomyslny">
    <w:name w:val="akapitdomyslny"/>
    <w:basedOn w:val="Domylnaczcionkaakapitu"/>
    <w:rsid w:val="009429E2"/>
  </w:style>
  <w:style w:type="character" w:customStyle="1" w:styleId="artykul">
    <w:name w:val="artykul"/>
    <w:basedOn w:val="Domylnaczcionkaakapitu"/>
    <w:rsid w:val="00964212"/>
  </w:style>
  <w:style w:type="paragraph" w:customStyle="1" w:styleId="lead">
    <w:name w:val="lead"/>
    <w:basedOn w:val="Normalny"/>
    <w:rsid w:val="0007379A"/>
    <w:pPr>
      <w:spacing w:before="100" w:beforeAutospacing="1" w:after="100" w:afterAutospacing="1"/>
    </w:pPr>
    <w:rPr>
      <w:rFonts w:ascii="Times New Roman" w:hAnsi="Times New Roman"/>
      <w:sz w:val="24"/>
      <w:szCs w:val="24"/>
    </w:rPr>
  </w:style>
  <w:style w:type="paragraph" w:customStyle="1" w:styleId="autor">
    <w:name w:val="autor"/>
    <w:basedOn w:val="Normalny"/>
    <w:rsid w:val="0007379A"/>
    <w:pPr>
      <w:spacing w:before="100" w:beforeAutospacing="1" w:after="100" w:afterAutospacing="1"/>
    </w:pPr>
    <w:rPr>
      <w:rFonts w:ascii="Times New Roman" w:hAnsi="Times New Roman"/>
      <w:sz w:val="24"/>
      <w:szCs w:val="24"/>
    </w:rPr>
  </w:style>
  <w:style w:type="paragraph" w:customStyle="1" w:styleId="tresc">
    <w:name w:val="tresc"/>
    <w:basedOn w:val="Normalny"/>
    <w:rsid w:val="0007379A"/>
    <w:pPr>
      <w:spacing w:before="100" w:beforeAutospacing="1" w:after="100" w:afterAutospacing="1"/>
    </w:pPr>
    <w:rPr>
      <w:rFonts w:ascii="Times New Roman" w:hAnsi="Times New Roman"/>
      <w:sz w:val="24"/>
      <w:szCs w:val="24"/>
    </w:rPr>
  </w:style>
  <w:style w:type="character" w:styleId="Pogrubienie">
    <w:name w:val="Strong"/>
    <w:basedOn w:val="Domylnaczcionkaakapitu"/>
    <w:qFormat/>
    <w:rsid w:val="00D1657E"/>
    <w:rPr>
      <w:b/>
      <w:bCs/>
    </w:rPr>
  </w:style>
  <w:style w:type="character" w:styleId="Uwydatnienie">
    <w:name w:val="Emphasis"/>
    <w:basedOn w:val="Domylnaczcionkaakapitu"/>
    <w:uiPriority w:val="20"/>
    <w:qFormat/>
    <w:rsid w:val="00D1657E"/>
    <w:rPr>
      <w:i/>
      <w:iCs/>
    </w:rPr>
  </w:style>
  <w:style w:type="character" w:customStyle="1" w:styleId="urlp79825bed95c25b5070d2ca30c1d8266944afe29c16d152d04f2a7397dfb939cc">
    <w:name w:val="url_p_79825bed95c25b5070d2ca30c1d8266944afe29c16d152d04f2a7397dfb939cc"/>
    <w:basedOn w:val="Domylnaczcionkaakapitu"/>
    <w:rsid w:val="00D1657E"/>
  </w:style>
  <w:style w:type="character" w:customStyle="1" w:styleId="tresc2">
    <w:name w:val="tresc2"/>
    <w:basedOn w:val="Domylnaczcionkaakapitu"/>
    <w:rsid w:val="002C48D0"/>
  </w:style>
  <w:style w:type="character" w:customStyle="1" w:styleId="Nagwek2Znak">
    <w:name w:val="Nagłówek 2 Znak"/>
    <w:basedOn w:val="Domylnaczcionkaakapitu"/>
    <w:link w:val="Nagwek2"/>
    <w:semiHidden/>
    <w:rsid w:val="00B350BB"/>
    <w:rPr>
      <w:rFonts w:ascii="Cambria" w:eastAsia="Times New Roman" w:hAnsi="Cambria" w:cs="Times New Roman"/>
      <w:b/>
      <w:bCs/>
      <w:i/>
      <w:iCs/>
      <w:sz w:val="28"/>
      <w:szCs w:val="28"/>
    </w:rPr>
  </w:style>
  <w:style w:type="character" w:customStyle="1" w:styleId="Nagwek4Znak">
    <w:name w:val="Nagłówek 4 Znak"/>
    <w:basedOn w:val="Domylnaczcionkaakapitu"/>
    <w:link w:val="Nagwek4"/>
    <w:semiHidden/>
    <w:rsid w:val="00B350BB"/>
    <w:rPr>
      <w:rFonts w:ascii="Calibri" w:eastAsia="Times New Roman" w:hAnsi="Calibri" w:cs="Times New Roman"/>
      <w:b/>
      <w:bCs/>
      <w:sz w:val="28"/>
      <w:szCs w:val="28"/>
    </w:rPr>
  </w:style>
  <w:style w:type="character" w:customStyle="1" w:styleId="Nagwek5Znak">
    <w:name w:val="Nagłówek 5 Znak"/>
    <w:basedOn w:val="Domylnaczcionkaakapitu"/>
    <w:link w:val="Nagwek5"/>
    <w:semiHidden/>
    <w:rsid w:val="00B350BB"/>
    <w:rPr>
      <w:rFonts w:ascii="Calibri" w:eastAsia="Times New Roman" w:hAnsi="Calibri" w:cs="Times New Roman"/>
      <w:b/>
      <w:bCs/>
      <w:i/>
      <w:iCs/>
      <w:sz w:val="26"/>
      <w:szCs w:val="26"/>
    </w:rPr>
  </w:style>
  <w:style w:type="character" w:customStyle="1" w:styleId="Nagwek6Znak">
    <w:name w:val="Nagłówek 6 Znak"/>
    <w:basedOn w:val="Domylnaczcionkaakapitu"/>
    <w:link w:val="Nagwek6"/>
    <w:semiHidden/>
    <w:rsid w:val="00B350BB"/>
    <w:rPr>
      <w:rFonts w:ascii="Calibri" w:eastAsia="Times New Roman" w:hAnsi="Calibri" w:cs="Times New Roman"/>
      <w:b/>
      <w:bCs/>
      <w:sz w:val="22"/>
      <w:szCs w:val="22"/>
    </w:rPr>
  </w:style>
  <w:style w:type="paragraph" w:styleId="Zagicieodgryformularza">
    <w:name w:val="HTML Top of Form"/>
    <w:basedOn w:val="Normalny"/>
    <w:next w:val="Normalny"/>
    <w:link w:val="ZagicieodgryformularzaZnak"/>
    <w:hidden/>
    <w:uiPriority w:val="99"/>
    <w:unhideWhenUsed/>
    <w:rsid w:val="00B350BB"/>
    <w:pPr>
      <w:pBdr>
        <w:bottom w:val="single" w:sz="6" w:space="1" w:color="auto"/>
      </w:pBdr>
      <w:jc w:val="center"/>
    </w:pPr>
    <w:rPr>
      <w:rFonts w:cs="Arial"/>
      <w:vanish/>
      <w:sz w:val="16"/>
      <w:szCs w:val="16"/>
    </w:rPr>
  </w:style>
  <w:style w:type="character" w:customStyle="1" w:styleId="ZagicieodgryformularzaZnak">
    <w:name w:val="Zagięcie od góry formularza Znak"/>
    <w:basedOn w:val="Domylnaczcionkaakapitu"/>
    <w:link w:val="Zagicieodgryformularza"/>
    <w:uiPriority w:val="99"/>
    <w:rsid w:val="00B350BB"/>
    <w:rPr>
      <w:rFonts w:ascii="Arial" w:hAnsi="Arial" w:cs="Arial"/>
      <w:vanish/>
      <w:sz w:val="16"/>
      <w:szCs w:val="16"/>
    </w:rPr>
  </w:style>
  <w:style w:type="character" w:customStyle="1" w:styleId="blokada">
    <w:name w:val="blokada"/>
    <w:basedOn w:val="Domylnaczcionkaakapitu"/>
    <w:rsid w:val="00B350BB"/>
  </w:style>
  <w:style w:type="paragraph" w:styleId="Zagicieoddouformularza">
    <w:name w:val="HTML Bottom of Form"/>
    <w:basedOn w:val="Normalny"/>
    <w:next w:val="Normalny"/>
    <w:link w:val="ZagicieoddouformularzaZnak"/>
    <w:hidden/>
    <w:uiPriority w:val="99"/>
    <w:unhideWhenUsed/>
    <w:rsid w:val="00B350BB"/>
    <w:pPr>
      <w:pBdr>
        <w:top w:val="single" w:sz="6" w:space="1" w:color="auto"/>
      </w:pBdr>
      <w:jc w:val="center"/>
    </w:pPr>
    <w:rPr>
      <w:rFonts w:cs="Arial"/>
      <w:vanish/>
      <w:sz w:val="16"/>
      <w:szCs w:val="16"/>
    </w:rPr>
  </w:style>
  <w:style w:type="character" w:customStyle="1" w:styleId="ZagicieoddouformularzaZnak">
    <w:name w:val="Zagięcie od dołu formularza Znak"/>
    <w:basedOn w:val="Domylnaczcionkaakapitu"/>
    <w:link w:val="Zagicieoddouformularza"/>
    <w:uiPriority w:val="99"/>
    <w:rsid w:val="00B350BB"/>
    <w:rPr>
      <w:rFonts w:ascii="Arial" w:hAnsi="Arial" w:cs="Arial"/>
      <w:vanish/>
      <w:sz w:val="16"/>
      <w:szCs w:val="16"/>
    </w:rPr>
  </w:style>
  <w:style w:type="paragraph" w:customStyle="1" w:styleId="wyroznienie">
    <w:name w:val="wyroznienie"/>
    <w:basedOn w:val="Normalny"/>
    <w:rsid w:val="00B350BB"/>
    <w:pPr>
      <w:spacing w:before="100" w:beforeAutospacing="1" w:after="100" w:afterAutospacing="1"/>
    </w:pPr>
    <w:rPr>
      <w:rFonts w:ascii="Times New Roman" w:hAnsi="Times New Roman"/>
      <w:sz w:val="24"/>
      <w:szCs w:val="24"/>
    </w:rPr>
  </w:style>
  <w:style w:type="paragraph" w:customStyle="1" w:styleId="ramka-tyt">
    <w:name w:val="ramka-tyt"/>
    <w:basedOn w:val="Normalny"/>
    <w:rsid w:val="00B350BB"/>
    <w:pPr>
      <w:spacing w:before="100" w:beforeAutospacing="1" w:after="100" w:afterAutospacing="1"/>
    </w:pPr>
    <w:rPr>
      <w:rFonts w:ascii="Times New Roman" w:hAnsi="Times New Roman"/>
      <w:sz w:val="24"/>
      <w:szCs w:val="24"/>
    </w:rPr>
  </w:style>
  <w:style w:type="paragraph" w:customStyle="1" w:styleId="ramka-txt">
    <w:name w:val="ramka-txt"/>
    <w:basedOn w:val="Normalny"/>
    <w:rsid w:val="00B350BB"/>
    <w:pPr>
      <w:spacing w:before="100" w:beforeAutospacing="1" w:after="100" w:afterAutospacing="1"/>
    </w:pPr>
    <w:rPr>
      <w:rFonts w:ascii="Times New Roman" w:hAnsi="Times New Roman"/>
      <w:sz w:val="24"/>
      <w:szCs w:val="24"/>
    </w:rPr>
  </w:style>
  <w:style w:type="character" w:customStyle="1" w:styleId="szary-afaeaf">
    <w:name w:val="szary-afaeaf"/>
    <w:basedOn w:val="Domylnaczcionkaakapitu"/>
    <w:rsid w:val="00B350BB"/>
  </w:style>
  <w:style w:type="paragraph" w:customStyle="1" w:styleId="inside">
    <w:name w:val="inside"/>
    <w:basedOn w:val="Normalny"/>
    <w:rsid w:val="00B350BB"/>
    <w:pPr>
      <w:spacing w:before="100" w:beforeAutospacing="1" w:after="100" w:afterAutospacing="1"/>
    </w:pPr>
    <w:rPr>
      <w:rFonts w:ascii="Times New Roman" w:hAnsi="Times New Roman"/>
      <w:sz w:val="24"/>
      <w:szCs w:val="24"/>
    </w:rPr>
  </w:style>
  <w:style w:type="paragraph" w:customStyle="1" w:styleId="zapoznaj-zasady">
    <w:name w:val="zapoznaj-zasady"/>
    <w:basedOn w:val="Normalny"/>
    <w:rsid w:val="00B350BB"/>
    <w:pPr>
      <w:spacing w:before="100" w:beforeAutospacing="1" w:after="100" w:afterAutospacing="1"/>
    </w:pPr>
    <w:rPr>
      <w:rFonts w:ascii="Times New Roman" w:hAnsi="Times New Roman"/>
      <w:sz w:val="24"/>
      <w:szCs w:val="24"/>
    </w:rPr>
  </w:style>
  <w:style w:type="paragraph" w:customStyle="1" w:styleId="nagl-prawa">
    <w:name w:val="nagl-prawa"/>
    <w:basedOn w:val="Normalny"/>
    <w:rsid w:val="00B350BB"/>
    <w:pPr>
      <w:spacing w:before="100" w:beforeAutospacing="1" w:after="100" w:afterAutospacing="1"/>
    </w:pPr>
    <w:rPr>
      <w:rFonts w:ascii="Times New Roman" w:hAnsi="Times New Roman"/>
      <w:sz w:val="24"/>
      <w:szCs w:val="24"/>
    </w:rPr>
  </w:style>
  <w:style w:type="paragraph" w:customStyle="1" w:styleId="fl">
    <w:name w:val="fl"/>
    <w:basedOn w:val="Normalny"/>
    <w:rsid w:val="00B350BB"/>
    <w:pPr>
      <w:spacing w:before="100" w:beforeAutospacing="1" w:after="100" w:afterAutospacing="1"/>
    </w:pPr>
    <w:rPr>
      <w:rFonts w:ascii="Times New Roman" w:hAnsi="Times New Roman"/>
      <w:sz w:val="24"/>
      <w:szCs w:val="24"/>
    </w:rPr>
  </w:style>
  <w:style w:type="character" w:customStyle="1" w:styleId="zaawansowana">
    <w:name w:val="zaawansowana"/>
    <w:basedOn w:val="Domylnaczcionkaakapitu"/>
    <w:rsid w:val="00B350BB"/>
  </w:style>
  <w:style w:type="character" w:customStyle="1" w:styleId="b">
    <w:name w:val="b"/>
    <w:basedOn w:val="Domylnaczcionkaakapitu"/>
    <w:rsid w:val="00B350BB"/>
  </w:style>
  <w:style w:type="character" w:customStyle="1" w:styleId="forum-temat">
    <w:name w:val="forum-temat"/>
    <w:basedOn w:val="Domylnaczcionkaakapitu"/>
    <w:rsid w:val="00B350BB"/>
  </w:style>
  <w:style w:type="paragraph" w:styleId="Zwykytekst">
    <w:name w:val="Plain Text"/>
    <w:basedOn w:val="Normalny"/>
    <w:link w:val="ZwykytekstZnak"/>
    <w:rsid w:val="00D656EF"/>
    <w:pPr>
      <w:spacing w:line="360" w:lineRule="auto"/>
      <w:jc w:val="both"/>
    </w:pPr>
    <w:rPr>
      <w:rFonts w:ascii="Courier New" w:hAnsi="Courier New" w:cs="Courier New"/>
      <w:sz w:val="20"/>
    </w:rPr>
  </w:style>
  <w:style w:type="character" w:customStyle="1" w:styleId="ZwykytekstZnak">
    <w:name w:val="Zwykły tekst Znak"/>
    <w:basedOn w:val="Domylnaczcionkaakapitu"/>
    <w:link w:val="Zwykytekst"/>
    <w:rsid w:val="00D656EF"/>
    <w:rPr>
      <w:rFonts w:ascii="Courier New" w:hAnsi="Courier New" w:cs="Courier New"/>
    </w:rPr>
  </w:style>
  <w:style w:type="character" w:customStyle="1" w:styleId="urlp24633b29b6dcd467a729a48ad60885501fa2c597f010da062ff6a3f9306cc8fb">
    <w:name w:val="url_p_24633b29b6dcd467a729a48ad60885501fa2c597f010da062ff6a3f9306cc8fb"/>
    <w:basedOn w:val="Domylnaczcionkaakapitu"/>
    <w:rsid w:val="00D656EF"/>
  </w:style>
  <w:style w:type="paragraph" w:styleId="Mapadokumentu">
    <w:name w:val="Document Map"/>
    <w:basedOn w:val="Normalny"/>
    <w:semiHidden/>
    <w:rsid w:val="00997CAF"/>
    <w:pPr>
      <w:shd w:val="clear" w:color="auto" w:fill="000080"/>
    </w:pPr>
    <w:rPr>
      <w:rFonts w:ascii="Tahoma" w:hAnsi="Tahoma" w:cs="Tahoma"/>
      <w:sz w:val="20"/>
    </w:rPr>
  </w:style>
  <w:style w:type="paragraph" w:styleId="Tekstpodstawowy2">
    <w:name w:val="Body Text 2"/>
    <w:basedOn w:val="Normalny"/>
    <w:rsid w:val="002379C7"/>
    <w:pPr>
      <w:spacing w:after="120" w:line="480" w:lineRule="auto"/>
    </w:pPr>
  </w:style>
  <w:style w:type="character" w:styleId="Odwoaniedokomentarza">
    <w:name w:val="annotation reference"/>
    <w:basedOn w:val="Domylnaczcionkaakapitu"/>
    <w:rsid w:val="008534FA"/>
    <w:rPr>
      <w:sz w:val="16"/>
      <w:szCs w:val="16"/>
    </w:rPr>
  </w:style>
  <w:style w:type="paragraph" w:styleId="Tekstkomentarza">
    <w:name w:val="annotation text"/>
    <w:basedOn w:val="Normalny"/>
    <w:link w:val="TekstkomentarzaZnak"/>
    <w:rsid w:val="008534FA"/>
    <w:rPr>
      <w:sz w:val="20"/>
    </w:rPr>
  </w:style>
  <w:style w:type="character" w:customStyle="1" w:styleId="TekstkomentarzaZnak">
    <w:name w:val="Tekst komentarza Znak"/>
    <w:basedOn w:val="Domylnaczcionkaakapitu"/>
    <w:link w:val="Tekstkomentarza"/>
    <w:rsid w:val="008534FA"/>
    <w:rPr>
      <w:rFonts w:ascii="Arial" w:hAnsi="Arial"/>
    </w:rPr>
  </w:style>
  <w:style w:type="paragraph" w:styleId="Tematkomentarza">
    <w:name w:val="annotation subject"/>
    <w:basedOn w:val="Tekstkomentarza"/>
    <w:next w:val="Tekstkomentarza"/>
    <w:link w:val="TematkomentarzaZnak"/>
    <w:rsid w:val="008534FA"/>
    <w:rPr>
      <w:b/>
      <w:bCs/>
    </w:rPr>
  </w:style>
  <w:style w:type="character" w:customStyle="1" w:styleId="TematkomentarzaZnak">
    <w:name w:val="Temat komentarza Znak"/>
    <w:basedOn w:val="TekstkomentarzaZnak"/>
    <w:link w:val="Tematkomentarza"/>
    <w:rsid w:val="008534FA"/>
    <w:rPr>
      <w:rFonts w:ascii="Arial" w:hAnsi="Arial"/>
      <w:b/>
      <w:bCs/>
    </w:rPr>
  </w:style>
  <w:style w:type="character" w:customStyle="1" w:styleId="A2">
    <w:name w:val="A2"/>
    <w:rsid w:val="005E49C8"/>
    <w:rPr>
      <w:rFonts w:cs="Myriad Pro"/>
      <w:color w:val="000000"/>
      <w:sz w:val="22"/>
      <w:szCs w:val="22"/>
    </w:rPr>
  </w:style>
  <w:style w:type="character" w:customStyle="1" w:styleId="A1">
    <w:name w:val="A1"/>
    <w:rsid w:val="007820AB"/>
    <w:rPr>
      <w:rFonts w:cs="Myriad Pro"/>
      <w:color w:val="000000"/>
      <w:sz w:val="60"/>
      <w:szCs w:val="60"/>
    </w:rPr>
  </w:style>
  <w:style w:type="paragraph" w:styleId="Tekstprzypisukocowego">
    <w:name w:val="endnote text"/>
    <w:basedOn w:val="Normalny"/>
    <w:link w:val="TekstprzypisukocowegoZnak"/>
    <w:rsid w:val="00A57A69"/>
    <w:rPr>
      <w:sz w:val="20"/>
    </w:rPr>
  </w:style>
  <w:style w:type="character" w:customStyle="1" w:styleId="TekstprzypisukocowegoZnak">
    <w:name w:val="Tekst przypisu końcowego Znak"/>
    <w:basedOn w:val="Domylnaczcionkaakapitu"/>
    <w:link w:val="Tekstprzypisukocowego"/>
    <w:rsid w:val="00A57A69"/>
    <w:rPr>
      <w:rFonts w:ascii="Arial" w:hAnsi="Arial"/>
    </w:rPr>
  </w:style>
  <w:style w:type="character" w:styleId="Odwoanieprzypisukocowego">
    <w:name w:val="endnote reference"/>
    <w:basedOn w:val="Domylnaczcionkaakapitu"/>
    <w:rsid w:val="00A57A69"/>
    <w:rPr>
      <w:vertAlign w:val="superscript"/>
    </w:rPr>
  </w:style>
  <w:style w:type="character" w:styleId="Nierozpoznanawzmianka">
    <w:name w:val="Unresolved Mention"/>
    <w:basedOn w:val="Domylnaczcionkaakapitu"/>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471438">
      <w:bodyDiv w:val="1"/>
      <w:marLeft w:val="0"/>
      <w:marRight w:val="0"/>
      <w:marTop w:val="0"/>
      <w:marBottom w:val="0"/>
      <w:divBdr>
        <w:top w:val="none" w:sz="0" w:space="0" w:color="auto"/>
        <w:left w:val="none" w:sz="0" w:space="0" w:color="auto"/>
        <w:bottom w:val="none" w:sz="0" w:space="0" w:color="auto"/>
        <w:right w:val="none" w:sz="0" w:space="0" w:color="auto"/>
      </w:divBdr>
      <w:divsChild>
        <w:div w:id="136799486">
          <w:marLeft w:val="0"/>
          <w:marRight w:val="0"/>
          <w:marTop w:val="0"/>
          <w:marBottom w:val="0"/>
          <w:divBdr>
            <w:top w:val="none" w:sz="0" w:space="0" w:color="auto"/>
            <w:left w:val="none" w:sz="0" w:space="0" w:color="auto"/>
            <w:bottom w:val="none" w:sz="0" w:space="0" w:color="auto"/>
            <w:right w:val="none" w:sz="0" w:space="0" w:color="auto"/>
          </w:divBdr>
          <w:divsChild>
            <w:div w:id="1762946990">
              <w:marLeft w:val="0"/>
              <w:marRight w:val="0"/>
              <w:marTop w:val="0"/>
              <w:marBottom w:val="0"/>
              <w:divBdr>
                <w:top w:val="none" w:sz="0" w:space="0" w:color="auto"/>
                <w:left w:val="none" w:sz="0" w:space="0" w:color="auto"/>
                <w:bottom w:val="none" w:sz="0" w:space="0" w:color="auto"/>
                <w:right w:val="none" w:sz="0" w:space="0" w:color="auto"/>
              </w:divBdr>
            </w:div>
          </w:divsChild>
        </w:div>
        <w:div w:id="700328859">
          <w:marLeft w:val="0"/>
          <w:marRight w:val="0"/>
          <w:marTop w:val="0"/>
          <w:marBottom w:val="0"/>
          <w:divBdr>
            <w:top w:val="none" w:sz="0" w:space="0" w:color="auto"/>
            <w:left w:val="none" w:sz="0" w:space="0" w:color="auto"/>
            <w:bottom w:val="none" w:sz="0" w:space="0" w:color="auto"/>
            <w:right w:val="none" w:sz="0" w:space="0" w:color="auto"/>
          </w:divBdr>
        </w:div>
        <w:div w:id="1014847077">
          <w:marLeft w:val="0"/>
          <w:marRight w:val="0"/>
          <w:marTop w:val="0"/>
          <w:marBottom w:val="0"/>
          <w:divBdr>
            <w:top w:val="none" w:sz="0" w:space="0" w:color="auto"/>
            <w:left w:val="none" w:sz="0" w:space="0" w:color="auto"/>
            <w:bottom w:val="none" w:sz="0" w:space="0" w:color="auto"/>
            <w:right w:val="none" w:sz="0" w:space="0" w:color="auto"/>
          </w:divBdr>
          <w:divsChild>
            <w:div w:id="1678145536">
              <w:marLeft w:val="0"/>
              <w:marRight w:val="0"/>
              <w:marTop w:val="0"/>
              <w:marBottom w:val="0"/>
              <w:divBdr>
                <w:top w:val="none" w:sz="0" w:space="0" w:color="auto"/>
                <w:left w:val="none" w:sz="0" w:space="0" w:color="auto"/>
                <w:bottom w:val="none" w:sz="0" w:space="0" w:color="auto"/>
                <w:right w:val="none" w:sz="0" w:space="0" w:color="auto"/>
              </w:divBdr>
              <w:divsChild>
                <w:div w:id="402416224">
                  <w:marLeft w:val="0"/>
                  <w:marRight w:val="0"/>
                  <w:marTop w:val="0"/>
                  <w:marBottom w:val="0"/>
                  <w:divBdr>
                    <w:top w:val="none" w:sz="0" w:space="0" w:color="auto"/>
                    <w:left w:val="none" w:sz="0" w:space="0" w:color="auto"/>
                    <w:bottom w:val="none" w:sz="0" w:space="0" w:color="auto"/>
                    <w:right w:val="none" w:sz="0" w:space="0" w:color="auto"/>
                  </w:divBdr>
                </w:div>
                <w:div w:id="52679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69935">
          <w:marLeft w:val="0"/>
          <w:marRight w:val="0"/>
          <w:marTop w:val="0"/>
          <w:marBottom w:val="0"/>
          <w:divBdr>
            <w:top w:val="none" w:sz="0" w:space="0" w:color="auto"/>
            <w:left w:val="none" w:sz="0" w:space="0" w:color="auto"/>
            <w:bottom w:val="none" w:sz="0" w:space="0" w:color="auto"/>
            <w:right w:val="none" w:sz="0" w:space="0" w:color="auto"/>
          </w:divBdr>
          <w:divsChild>
            <w:div w:id="22943711">
              <w:marLeft w:val="0"/>
              <w:marRight w:val="0"/>
              <w:marTop w:val="0"/>
              <w:marBottom w:val="0"/>
              <w:divBdr>
                <w:top w:val="none" w:sz="0" w:space="0" w:color="auto"/>
                <w:left w:val="none" w:sz="0" w:space="0" w:color="auto"/>
                <w:bottom w:val="none" w:sz="0" w:space="0" w:color="auto"/>
                <w:right w:val="none" w:sz="0" w:space="0" w:color="auto"/>
              </w:divBdr>
            </w:div>
          </w:divsChild>
        </w:div>
        <w:div w:id="1598126706">
          <w:marLeft w:val="0"/>
          <w:marRight w:val="0"/>
          <w:marTop w:val="0"/>
          <w:marBottom w:val="0"/>
          <w:divBdr>
            <w:top w:val="none" w:sz="0" w:space="0" w:color="auto"/>
            <w:left w:val="none" w:sz="0" w:space="0" w:color="auto"/>
            <w:bottom w:val="none" w:sz="0" w:space="0" w:color="auto"/>
            <w:right w:val="none" w:sz="0" w:space="0" w:color="auto"/>
          </w:divBdr>
        </w:div>
        <w:div w:id="2135325993">
          <w:marLeft w:val="0"/>
          <w:marRight w:val="0"/>
          <w:marTop w:val="0"/>
          <w:marBottom w:val="0"/>
          <w:divBdr>
            <w:top w:val="none" w:sz="0" w:space="0" w:color="auto"/>
            <w:left w:val="none" w:sz="0" w:space="0" w:color="auto"/>
            <w:bottom w:val="none" w:sz="0" w:space="0" w:color="auto"/>
            <w:right w:val="none" w:sz="0" w:space="0" w:color="auto"/>
          </w:divBdr>
          <w:divsChild>
            <w:div w:id="1907758105">
              <w:marLeft w:val="0"/>
              <w:marRight w:val="0"/>
              <w:marTop w:val="0"/>
              <w:marBottom w:val="0"/>
              <w:divBdr>
                <w:top w:val="none" w:sz="0" w:space="0" w:color="auto"/>
                <w:left w:val="none" w:sz="0" w:space="0" w:color="auto"/>
                <w:bottom w:val="none" w:sz="0" w:space="0" w:color="auto"/>
                <w:right w:val="none" w:sz="0" w:space="0" w:color="auto"/>
              </w:divBdr>
              <w:divsChild>
                <w:div w:id="191919116">
                  <w:marLeft w:val="0"/>
                  <w:marRight w:val="0"/>
                  <w:marTop w:val="0"/>
                  <w:marBottom w:val="0"/>
                  <w:divBdr>
                    <w:top w:val="none" w:sz="0" w:space="0" w:color="auto"/>
                    <w:left w:val="none" w:sz="0" w:space="0" w:color="auto"/>
                    <w:bottom w:val="none" w:sz="0" w:space="0" w:color="auto"/>
                    <w:right w:val="none" w:sz="0" w:space="0" w:color="auto"/>
                  </w:divBdr>
                  <w:divsChild>
                    <w:div w:id="1841894939">
                      <w:marLeft w:val="0"/>
                      <w:marRight w:val="0"/>
                      <w:marTop w:val="0"/>
                      <w:marBottom w:val="0"/>
                      <w:divBdr>
                        <w:top w:val="none" w:sz="0" w:space="0" w:color="auto"/>
                        <w:left w:val="none" w:sz="0" w:space="0" w:color="auto"/>
                        <w:bottom w:val="none" w:sz="0" w:space="0" w:color="auto"/>
                        <w:right w:val="none" w:sz="0" w:space="0" w:color="auto"/>
                      </w:divBdr>
                      <w:divsChild>
                        <w:div w:id="1082289656">
                          <w:marLeft w:val="0"/>
                          <w:marRight w:val="0"/>
                          <w:marTop w:val="0"/>
                          <w:marBottom w:val="0"/>
                          <w:divBdr>
                            <w:top w:val="none" w:sz="0" w:space="0" w:color="auto"/>
                            <w:left w:val="none" w:sz="0" w:space="0" w:color="auto"/>
                            <w:bottom w:val="none" w:sz="0" w:space="0" w:color="auto"/>
                            <w:right w:val="none" w:sz="0" w:space="0" w:color="auto"/>
                          </w:divBdr>
                          <w:divsChild>
                            <w:div w:id="702286056">
                              <w:marLeft w:val="0"/>
                              <w:marRight w:val="0"/>
                              <w:marTop w:val="0"/>
                              <w:marBottom w:val="0"/>
                              <w:divBdr>
                                <w:top w:val="none" w:sz="0" w:space="0" w:color="auto"/>
                                <w:left w:val="none" w:sz="0" w:space="0" w:color="auto"/>
                                <w:bottom w:val="none" w:sz="0" w:space="0" w:color="auto"/>
                                <w:right w:val="none" w:sz="0" w:space="0" w:color="auto"/>
                              </w:divBdr>
                            </w:div>
                            <w:div w:id="1104228471">
                              <w:marLeft w:val="0"/>
                              <w:marRight w:val="0"/>
                              <w:marTop w:val="0"/>
                              <w:marBottom w:val="0"/>
                              <w:divBdr>
                                <w:top w:val="none" w:sz="0" w:space="0" w:color="auto"/>
                                <w:left w:val="none" w:sz="0" w:space="0" w:color="auto"/>
                                <w:bottom w:val="none" w:sz="0" w:space="0" w:color="auto"/>
                                <w:right w:val="none" w:sz="0" w:space="0" w:color="auto"/>
                              </w:divBdr>
                            </w:div>
                            <w:div w:id="1458185274">
                              <w:marLeft w:val="0"/>
                              <w:marRight w:val="0"/>
                              <w:marTop w:val="0"/>
                              <w:marBottom w:val="0"/>
                              <w:divBdr>
                                <w:top w:val="none" w:sz="0" w:space="0" w:color="auto"/>
                                <w:left w:val="none" w:sz="0" w:space="0" w:color="auto"/>
                                <w:bottom w:val="none" w:sz="0" w:space="0" w:color="auto"/>
                                <w:right w:val="none" w:sz="0" w:space="0" w:color="auto"/>
                              </w:divBdr>
                            </w:div>
                            <w:div w:id="1522550700">
                              <w:marLeft w:val="0"/>
                              <w:marRight w:val="0"/>
                              <w:marTop w:val="0"/>
                              <w:marBottom w:val="0"/>
                              <w:divBdr>
                                <w:top w:val="none" w:sz="0" w:space="0" w:color="auto"/>
                                <w:left w:val="none" w:sz="0" w:space="0" w:color="auto"/>
                                <w:bottom w:val="none" w:sz="0" w:space="0" w:color="auto"/>
                                <w:right w:val="none" w:sz="0" w:space="0" w:color="auto"/>
                              </w:divBdr>
                            </w:div>
                            <w:div w:id="1714698460">
                              <w:marLeft w:val="0"/>
                              <w:marRight w:val="0"/>
                              <w:marTop w:val="0"/>
                              <w:marBottom w:val="0"/>
                              <w:divBdr>
                                <w:top w:val="none" w:sz="0" w:space="0" w:color="auto"/>
                                <w:left w:val="none" w:sz="0" w:space="0" w:color="auto"/>
                                <w:bottom w:val="none" w:sz="0" w:space="0" w:color="auto"/>
                                <w:right w:val="none" w:sz="0" w:space="0" w:color="auto"/>
                              </w:divBdr>
                            </w:div>
                            <w:div w:id="209554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561766">
                  <w:marLeft w:val="0"/>
                  <w:marRight w:val="0"/>
                  <w:marTop w:val="0"/>
                  <w:marBottom w:val="0"/>
                  <w:divBdr>
                    <w:top w:val="none" w:sz="0" w:space="0" w:color="auto"/>
                    <w:left w:val="none" w:sz="0" w:space="0" w:color="auto"/>
                    <w:bottom w:val="none" w:sz="0" w:space="0" w:color="auto"/>
                    <w:right w:val="none" w:sz="0" w:space="0" w:color="auto"/>
                  </w:divBdr>
                  <w:divsChild>
                    <w:div w:id="345600136">
                      <w:marLeft w:val="0"/>
                      <w:marRight w:val="0"/>
                      <w:marTop w:val="0"/>
                      <w:marBottom w:val="0"/>
                      <w:divBdr>
                        <w:top w:val="none" w:sz="0" w:space="0" w:color="auto"/>
                        <w:left w:val="none" w:sz="0" w:space="0" w:color="auto"/>
                        <w:bottom w:val="none" w:sz="0" w:space="0" w:color="auto"/>
                        <w:right w:val="none" w:sz="0" w:space="0" w:color="auto"/>
                      </w:divBdr>
                      <w:divsChild>
                        <w:div w:id="74936837">
                          <w:marLeft w:val="0"/>
                          <w:marRight w:val="0"/>
                          <w:marTop w:val="0"/>
                          <w:marBottom w:val="0"/>
                          <w:divBdr>
                            <w:top w:val="none" w:sz="0" w:space="0" w:color="auto"/>
                            <w:left w:val="none" w:sz="0" w:space="0" w:color="auto"/>
                            <w:bottom w:val="none" w:sz="0" w:space="0" w:color="auto"/>
                            <w:right w:val="none" w:sz="0" w:space="0" w:color="auto"/>
                          </w:divBdr>
                          <w:divsChild>
                            <w:div w:id="295841954">
                              <w:marLeft w:val="0"/>
                              <w:marRight w:val="0"/>
                              <w:marTop w:val="0"/>
                              <w:marBottom w:val="0"/>
                              <w:divBdr>
                                <w:top w:val="none" w:sz="0" w:space="0" w:color="auto"/>
                                <w:left w:val="none" w:sz="0" w:space="0" w:color="auto"/>
                                <w:bottom w:val="none" w:sz="0" w:space="0" w:color="auto"/>
                                <w:right w:val="none" w:sz="0" w:space="0" w:color="auto"/>
                              </w:divBdr>
                            </w:div>
                            <w:div w:id="1473474955">
                              <w:marLeft w:val="0"/>
                              <w:marRight w:val="0"/>
                              <w:marTop w:val="0"/>
                              <w:marBottom w:val="0"/>
                              <w:divBdr>
                                <w:top w:val="none" w:sz="0" w:space="0" w:color="auto"/>
                                <w:left w:val="none" w:sz="0" w:space="0" w:color="auto"/>
                                <w:bottom w:val="none" w:sz="0" w:space="0" w:color="auto"/>
                                <w:right w:val="none" w:sz="0" w:space="0" w:color="auto"/>
                              </w:divBdr>
                            </w:div>
                          </w:divsChild>
                        </w:div>
                        <w:div w:id="849413132">
                          <w:marLeft w:val="0"/>
                          <w:marRight w:val="0"/>
                          <w:marTop w:val="0"/>
                          <w:marBottom w:val="0"/>
                          <w:divBdr>
                            <w:top w:val="none" w:sz="0" w:space="0" w:color="auto"/>
                            <w:left w:val="none" w:sz="0" w:space="0" w:color="auto"/>
                            <w:bottom w:val="none" w:sz="0" w:space="0" w:color="auto"/>
                            <w:right w:val="none" w:sz="0" w:space="0" w:color="auto"/>
                          </w:divBdr>
                          <w:divsChild>
                            <w:div w:id="898132744">
                              <w:marLeft w:val="0"/>
                              <w:marRight w:val="0"/>
                              <w:marTop w:val="0"/>
                              <w:marBottom w:val="0"/>
                              <w:divBdr>
                                <w:top w:val="none" w:sz="0" w:space="0" w:color="auto"/>
                                <w:left w:val="none" w:sz="0" w:space="0" w:color="auto"/>
                                <w:bottom w:val="none" w:sz="0" w:space="0" w:color="auto"/>
                                <w:right w:val="none" w:sz="0" w:space="0" w:color="auto"/>
                              </w:divBdr>
                            </w:div>
                          </w:divsChild>
                        </w:div>
                        <w:div w:id="952244382">
                          <w:marLeft w:val="0"/>
                          <w:marRight w:val="0"/>
                          <w:marTop w:val="0"/>
                          <w:marBottom w:val="0"/>
                          <w:divBdr>
                            <w:top w:val="none" w:sz="0" w:space="0" w:color="auto"/>
                            <w:left w:val="none" w:sz="0" w:space="0" w:color="auto"/>
                            <w:bottom w:val="none" w:sz="0" w:space="0" w:color="auto"/>
                            <w:right w:val="none" w:sz="0" w:space="0" w:color="auto"/>
                          </w:divBdr>
                        </w:div>
                        <w:div w:id="953171553">
                          <w:marLeft w:val="0"/>
                          <w:marRight w:val="0"/>
                          <w:marTop w:val="0"/>
                          <w:marBottom w:val="0"/>
                          <w:divBdr>
                            <w:top w:val="none" w:sz="0" w:space="0" w:color="auto"/>
                            <w:left w:val="none" w:sz="0" w:space="0" w:color="auto"/>
                            <w:bottom w:val="none" w:sz="0" w:space="0" w:color="auto"/>
                            <w:right w:val="none" w:sz="0" w:space="0" w:color="auto"/>
                          </w:divBdr>
                          <w:divsChild>
                            <w:div w:id="1935357814">
                              <w:marLeft w:val="0"/>
                              <w:marRight w:val="0"/>
                              <w:marTop w:val="0"/>
                              <w:marBottom w:val="0"/>
                              <w:divBdr>
                                <w:top w:val="none" w:sz="0" w:space="0" w:color="auto"/>
                                <w:left w:val="none" w:sz="0" w:space="0" w:color="auto"/>
                                <w:bottom w:val="none" w:sz="0" w:space="0" w:color="auto"/>
                                <w:right w:val="none" w:sz="0" w:space="0" w:color="auto"/>
                              </w:divBdr>
                            </w:div>
                          </w:divsChild>
                        </w:div>
                        <w:div w:id="1465781076">
                          <w:marLeft w:val="0"/>
                          <w:marRight w:val="0"/>
                          <w:marTop w:val="0"/>
                          <w:marBottom w:val="0"/>
                          <w:divBdr>
                            <w:top w:val="none" w:sz="0" w:space="0" w:color="auto"/>
                            <w:left w:val="none" w:sz="0" w:space="0" w:color="auto"/>
                            <w:bottom w:val="none" w:sz="0" w:space="0" w:color="auto"/>
                            <w:right w:val="none" w:sz="0" w:space="0" w:color="auto"/>
                          </w:divBdr>
                          <w:divsChild>
                            <w:div w:id="1447846971">
                              <w:marLeft w:val="0"/>
                              <w:marRight w:val="0"/>
                              <w:marTop w:val="0"/>
                              <w:marBottom w:val="0"/>
                              <w:divBdr>
                                <w:top w:val="none" w:sz="0" w:space="0" w:color="auto"/>
                                <w:left w:val="none" w:sz="0" w:space="0" w:color="auto"/>
                                <w:bottom w:val="none" w:sz="0" w:space="0" w:color="auto"/>
                                <w:right w:val="none" w:sz="0" w:space="0" w:color="auto"/>
                              </w:divBdr>
                              <w:divsChild>
                                <w:div w:id="212206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311411">
                          <w:marLeft w:val="0"/>
                          <w:marRight w:val="0"/>
                          <w:marTop w:val="0"/>
                          <w:marBottom w:val="0"/>
                          <w:divBdr>
                            <w:top w:val="none" w:sz="0" w:space="0" w:color="auto"/>
                            <w:left w:val="none" w:sz="0" w:space="0" w:color="auto"/>
                            <w:bottom w:val="none" w:sz="0" w:space="0" w:color="auto"/>
                            <w:right w:val="none" w:sz="0" w:space="0" w:color="auto"/>
                          </w:divBdr>
                        </w:div>
                        <w:div w:id="1769814909">
                          <w:marLeft w:val="0"/>
                          <w:marRight w:val="0"/>
                          <w:marTop w:val="0"/>
                          <w:marBottom w:val="0"/>
                          <w:divBdr>
                            <w:top w:val="none" w:sz="0" w:space="0" w:color="auto"/>
                            <w:left w:val="none" w:sz="0" w:space="0" w:color="auto"/>
                            <w:bottom w:val="none" w:sz="0" w:space="0" w:color="auto"/>
                            <w:right w:val="none" w:sz="0" w:space="0" w:color="auto"/>
                          </w:divBdr>
                          <w:divsChild>
                            <w:div w:id="254898720">
                              <w:marLeft w:val="0"/>
                              <w:marRight w:val="0"/>
                              <w:marTop w:val="0"/>
                              <w:marBottom w:val="0"/>
                              <w:divBdr>
                                <w:top w:val="none" w:sz="0" w:space="0" w:color="auto"/>
                                <w:left w:val="none" w:sz="0" w:space="0" w:color="auto"/>
                                <w:bottom w:val="none" w:sz="0" w:space="0" w:color="auto"/>
                                <w:right w:val="none" w:sz="0" w:space="0" w:color="auto"/>
                              </w:divBdr>
                            </w:div>
                          </w:divsChild>
                        </w:div>
                        <w:div w:id="1770856118">
                          <w:marLeft w:val="0"/>
                          <w:marRight w:val="0"/>
                          <w:marTop w:val="0"/>
                          <w:marBottom w:val="0"/>
                          <w:divBdr>
                            <w:top w:val="none" w:sz="0" w:space="0" w:color="auto"/>
                            <w:left w:val="none" w:sz="0" w:space="0" w:color="auto"/>
                            <w:bottom w:val="none" w:sz="0" w:space="0" w:color="auto"/>
                            <w:right w:val="none" w:sz="0" w:space="0" w:color="auto"/>
                          </w:divBdr>
                          <w:divsChild>
                            <w:div w:id="608468290">
                              <w:marLeft w:val="0"/>
                              <w:marRight w:val="0"/>
                              <w:marTop w:val="0"/>
                              <w:marBottom w:val="0"/>
                              <w:divBdr>
                                <w:top w:val="none" w:sz="0" w:space="0" w:color="auto"/>
                                <w:left w:val="none" w:sz="0" w:space="0" w:color="auto"/>
                                <w:bottom w:val="none" w:sz="0" w:space="0" w:color="auto"/>
                                <w:right w:val="none" w:sz="0" w:space="0" w:color="auto"/>
                              </w:divBdr>
                            </w:div>
                            <w:div w:id="1434087119">
                              <w:marLeft w:val="0"/>
                              <w:marRight w:val="0"/>
                              <w:marTop w:val="0"/>
                              <w:marBottom w:val="0"/>
                              <w:divBdr>
                                <w:top w:val="none" w:sz="0" w:space="0" w:color="auto"/>
                                <w:left w:val="none" w:sz="0" w:space="0" w:color="auto"/>
                                <w:bottom w:val="none" w:sz="0" w:space="0" w:color="auto"/>
                                <w:right w:val="none" w:sz="0" w:space="0" w:color="auto"/>
                              </w:divBdr>
                            </w:div>
                          </w:divsChild>
                        </w:div>
                        <w:div w:id="2136554317">
                          <w:marLeft w:val="0"/>
                          <w:marRight w:val="0"/>
                          <w:marTop w:val="0"/>
                          <w:marBottom w:val="0"/>
                          <w:divBdr>
                            <w:top w:val="none" w:sz="0" w:space="0" w:color="auto"/>
                            <w:left w:val="none" w:sz="0" w:space="0" w:color="auto"/>
                            <w:bottom w:val="none" w:sz="0" w:space="0" w:color="auto"/>
                            <w:right w:val="none" w:sz="0" w:space="0" w:color="auto"/>
                          </w:divBdr>
                          <w:divsChild>
                            <w:div w:id="969096413">
                              <w:marLeft w:val="0"/>
                              <w:marRight w:val="0"/>
                              <w:marTop w:val="0"/>
                              <w:marBottom w:val="0"/>
                              <w:divBdr>
                                <w:top w:val="none" w:sz="0" w:space="0" w:color="auto"/>
                                <w:left w:val="none" w:sz="0" w:space="0" w:color="auto"/>
                                <w:bottom w:val="none" w:sz="0" w:space="0" w:color="auto"/>
                                <w:right w:val="none" w:sz="0" w:space="0" w:color="auto"/>
                              </w:divBdr>
                              <w:divsChild>
                                <w:div w:id="978418628">
                                  <w:marLeft w:val="0"/>
                                  <w:marRight w:val="0"/>
                                  <w:marTop w:val="0"/>
                                  <w:marBottom w:val="0"/>
                                  <w:divBdr>
                                    <w:top w:val="none" w:sz="0" w:space="0" w:color="auto"/>
                                    <w:left w:val="none" w:sz="0" w:space="0" w:color="auto"/>
                                    <w:bottom w:val="none" w:sz="0" w:space="0" w:color="auto"/>
                                    <w:right w:val="none" w:sz="0" w:space="0" w:color="auto"/>
                                  </w:divBdr>
                                  <w:divsChild>
                                    <w:div w:id="1774518737">
                                      <w:marLeft w:val="0"/>
                                      <w:marRight w:val="0"/>
                                      <w:marTop w:val="0"/>
                                      <w:marBottom w:val="0"/>
                                      <w:divBdr>
                                        <w:top w:val="none" w:sz="0" w:space="0" w:color="auto"/>
                                        <w:left w:val="none" w:sz="0" w:space="0" w:color="auto"/>
                                        <w:bottom w:val="none" w:sz="0" w:space="0" w:color="auto"/>
                                        <w:right w:val="none" w:sz="0" w:space="0" w:color="auto"/>
                                      </w:divBdr>
                                    </w:div>
                                    <w:div w:id="1916935299">
                                      <w:marLeft w:val="0"/>
                                      <w:marRight w:val="0"/>
                                      <w:marTop w:val="0"/>
                                      <w:marBottom w:val="0"/>
                                      <w:divBdr>
                                        <w:top w:val="none" w:sz="0" w:space="0" w:color="auto"/>
                                        <w:left w:val="none" w:sz="0" w:space="0" w:color="auto"/>
                                        <w:bottom w:val="none" w:sz="0" w:space="0" w:color="auto"/>
                                        <w:right w:val="none" w:sz="0" w:space="0" w:color="auto"/>
                                      </w:divBdr>
                                    </w:div>
                                    <w:div w:id="199433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592045">
                      <w:marLeft w:val="0"/>
                      <w:marRight w:val="0"/>
                      <w:marTop w:val="0"/>
                      <w:marBottom w:val="0"/>
                      <w:divBdr>
                        <w:top w:val="none" w:sz="0" w:space="0" w:color="auto"/>
                        <w:left w:val="none" w:sz="0" w:space="0" w:color="auto"/>
                        <w:bottom w:val="none" w:sz="0" w:space="0" w:color="auto"/>
                        <w:right w:val="none" w:sz="0" w:space="0" w:color="auto"/>
                      </w:divBdr>
                      <w:divsChild>
                        <w:div w:id="825784220">
                          <w:marLeft w:val="0"/>
                          <w:marRight w:val="0"/>
                          <w:marTop w:val="0"/>
                          <w:marBottom w:val="0"/>
                          <w:divBdr>
                            <w:top w:val="none" w:sz="0" w:space="0" w:color="auto"/>
                            <w:left w:val="none" w:sz="0" w:space="0" w:color="auto"/>
                            <w:bottom w:val="none" w:sz="0" w:space="0" w:color="auto"/>
                            <w:right w:val="none" w:sz="0" w:space="0" w:color="auto"/>
                          </w:divBdr>
                        </w:div>
                        <w:div w:id="1105079264">
                          <w:marLeft w:val="0"/>
                          <w:marRight w:val="0"/>
                          <w:marTop w:val="0"/>
                          <w:marBottom w:val="0"/>
                          <w:divBdr>
                            <w:top w:val="none" w:sz="0" w:space="0" w:color="auto"/>
                            <w:left w:val="none" w:sz="0" w:space="0" w:color="auto"/>
                            <w:bottom w:val="none" w:sz="0" w:space="0" w:color="auto"/>
                            <w:right w:val="none" w:sz="0" w:space="0" w:color="auto"/>
                          </w:divBdr>
                        </w:div>
                      </w:divsChild>
                    </w:div>
                    <w:div w:id="1318806051">
                      <w:marLeft w:val="0"/>
                      <w:marRight w:val="0"/>
                      <w:marTop w:val="0"/>
                      <w:marBottom w:val="0"/>
                      <w:divBdr>
                        <w:top w:val="none" w:sz="0" w:space="0" w:color="auto"/>
                        <w:left w:val="none" w:sz="0" w:space="0" w:color="auto"/>
                        <w:bottom w:val="none" w:sz="0" w:space="0" w:color="auto"/>
                        <w:right w:val="none" w:sz="0" w:space="0" w:color="auto"/>
                      </w:divBdr>
                      <w:divsChild>
                        <w:div w:id="230504804">
                          <w:marLeft w:val="0"/>
                          <w:marRight w:val="0"/>
                          <w:marTop w:val="0"/>
                          <w:marBottom w:val="0"/>
                          <w:divBdr>
                            <w:top w:val="none" w:sz="0" w:space="0" w:color="auto"/>
                            <w:left w:val="none" w:sz="0" w:space="0" w:color="auto"/>
                            <w:bottom w:val="none" w:sz="0" w:space="0" w:color="auto"/>
                            <w:right w:val="none" w:sz="0" w:space="0" w:color="auto"/>
                          </w:divBdr>
                          <w:divsChild>
                            <w:div w:id="397900468">
                              <w:marLeft w:val="0"/>
                              <w:marRight w:val="0"/>
                              <w:marTop w:val="0"/>
                              <w:marBottom w:val="0"/>
                              <w:divBdr>
                                <w:top w:val="none" w:sz="0" w:space="0" w:color="auto"/>
                                <w:left w:val="none" w:sz="0" w:space="0" w:color="auto"/>
                                <w:bottom w:val="none" w:sz="0" w:space="0" w:color="auto"/>
                                <w:right w:val="none" w:sz="0" w:space="0" w:color="auto"/>
                              </w:divBdr>
                              <w:divsChild>
                                <w:div w:id="2139104172">
                                  <w:marLeft w:val="0"/>
                                  <w:marRight w:val="0"/>
                                  <w:marTop w:val="0"/>
                                  <w:marBottom w:val="0"/>
                                  <w:divBdr>
                                    <w:top w:val="none" w:sz="0" w:space="0" w:color="auto"/>
                                    <w:left w:val="none" w:sz="0" w:space="0" w:color="auto"/>
                                    <w:bottom w:val="none" w:sz="0" w:space="0" w:color="auto"/>
                                    <w:right w:val="none" w:sz="0" w:space="0" w:color="auto"/>
                                  </w:divBdr>
                                </w:div>
                              </w:divsChild>
                            </w:div>
                            <w:div w:id="505023305">
                              <w:marLeft w:val="0"/>
                              <w:marRight w:val="0"/>
                              <w:marTop w:val="0"/>
                              <w:marBottom w:val="0"/>
                              <w:divBdr>
                                <w:top w:val="none" w:sz="0" w:space="0" w:color="auto"/>
                                <w:left w:val="none" w:sz="0" w:space="0" w:color="auto"/>
                                <w:bottom w:val="none" w:sz="0" w:space="0" w:color="auto"/>
                                <w:right w:val="none" w:sz="0" w:space="0" w:color="auto"/>
                              </w:divBdr>
                              <w:divsChild>
                                <w:div w:id="379205099">
                                  <w:marLeft w:val="0"/>
                                  <w:marRight w:val="0"/>
                                  <w:marTop w:val="0"/>
                                  <w:marBottom w:val="0"/>
                                  <w:divBdr>
                                    <w:top w:val="none" w:sz="0" w:space="0" w:color="auto"/>
                                    <w:left w:val="none" w:sz="0" w:space="0" w:color="auto"/>
                                    <w:bottom w:val="none" w:sz="0" w:space="0" w:color="auto"/>
                                    <w:right w:val="none" w:sz="0" w:space="0" w:color="auto"/>
                                  </w:divBdr>
                                  <w:divsChild>
                                    <w:div w:id="58506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466680">
                              <w:marLeft w:val="0"/>
                              <w:marRight w:val="0"/>
                              <w:marTop w:val="0"/>
                              <w:marBottom w:val="0"/>
                              <w:divBdr>
                                <w:top w:val="none" w:sz="0" w:space="0" w:color="auto"/>
                                <w:left w:val="none" w:sz="0" w:space="0" w:color="auto"/>
                                <w:bottom w:val="none" w:sz="0" w:space="0" w:color="auto"/>
                                <w:right w:val="none" w:sz="0" w:space="0" w:color="auto"/>
                              </w:divBdr>
                              <w:divsChild>
                                <w:div w:id="701326708">
                                  <w:marLeft w:val="0"/>
                                  <w:marRight w:val="0"/>
                                  <w:marTop w:val="0"/>
                                  <w:marBottom w:val="0"/>
                                  <w:divBdr>
                                    <w:top w:val="none" w:sz="0" w:space="0" w:color="auto"/>
                                    <w:left w:val="none" w:sz="0" w:space="0" w:color="auto"/>
                                    <w:bottom w:val="none" w:sz="0" w:space="0" w:color="auto"/>
                                    <w:right w:val="none" w:sz="0" w:space="0" w:color="auto"/>
                                  </w:divBdr>
                                </w:div>
                                <w:div w:id="1487431469">
                                  <w:marLeft w:val="0"/>
                                  <w:marRight w:val="0"/>
                                  <w:marTop w:val="0"/>
                                  <w:marBottom w:val="0"/>
                                  <w:divBdr>
                                    <w:top w:val="none" w:sz="0" w:space="0" w:color="auto"/>
                                    <w:left w:val="none" w:sz="0" w:space="0" w:color="auto"/>
                                    <w:bottom w:val="none" w:sz="0" w:space="0" w:color="auto"/>
                                    <w:right w:val="none" w:sz="0" w:space="0" w:color="auto"/>
                                  </w:divBdr>
                                </w:div>
                                <w:div w:id="1978222171">
                                  <w:marLeft w:val="0"/>
                                  <w:marRight w:val="0"/>
                                  <w:marTop w:val="0"/>
                                  <w:marBottom w:val="0"/>
                                  <w:divBdr>
                                    <w:top w:val="none" w:sz="0" w:space="0" w:color="auto"/>
                                    <w:left w:val="none" w:sz="0" w:space="0" w:color="auto"/>
                                    <w:bottom w:val="none" w:sz="0" w:space="0" w:color="auto"/>
                                    <w:right w:val="none" w:sz="0" w:space="0" w:color="auto"/>
                                  </w:divBdr>
                                  <w:divsChild>
                                    <w:div w:id="562450367">
                                      <w:marLeft w:val="0"/>
                                      <w:marRight w:val="0"/>
                                      <w:marTop w:val="0"/>
                                      <w:marBottom w:val="0"/>
                                      <w:divBdr>
                                        <w:top w:val="none" w:sz="0" w:space="0" w:color="auto"/>
                                        <w:left w:val="none" w:sz="0" w:space="0" w:color="auto"/>
                                        <w:bottom w:val="none" w:sz="0" w:space="0" w:color="auto"/>
                                        <w:right w:val="none" w:sz="0" w:space="0" w:color="auto"/>
                                      </w:divBdr>
                                    </w:div>
                                    <w:div w:id="1203514035">
                                      <w:marLeft w:val="0"/>
                                      <w:marRight w:val="0"/>
                                      <w:marTop w:val="0"/>
                                      <w:marBottom w:val="0"/>
                                      <w:divBdr>
                                        <w:top w:val="none" w:sz="0" w:space="0" w:color="auto"/>
                                        <w:left w:val="none" w:sz="0" w:space="0" w:color="auto"/>
                                        <w:bottom w:val="none" w:sz="0" w:space="0" w:color="auto"/>
                                        <w:right w:val="none" w:sz="0" w:space="0" w:color="auto"/>
                                      </w:divBdr>
                                      <w:divsChild>
                                        <w:div w:id="1257784504">
                                          <w:marLeft w:val="0"/>
                                          <w:marRight w:val="0"/>
                                          <w:marTop w:val="0"/>
                                          <w:marBottom w:val="0"/>
                                          <w:divBdr>
                                            <w:top w:val="none" w:sz="0" w:space="0" w:color="auto"/>
                                            <w:left w:val="none" w:sz="0" w:space="0" w:color="auto"/>
                                            <w:bottom w:val="none" w:sz="0" w:space="0" w:color="auto"/>
                                            <w:right w:val="none" w:sz="0" w:space="0" w:color="auto"/>
                                          </w:divBdr>
                                        </w:div>
                                        <w:div w:id="166369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982331">
                              <w:marLeft w:val="0"/>
                              <w:marRight w:val="0"/>
                              <w:marTop w:val="0"/>
                              <w:marBottom w:val="0"/>
                              <w:divBdr>
                                <w:top w:val="none" w:sz="0" w:space="0" w:color="auto"/>
                                <w:left w:val="none" w:sz="0" w:space="0" w:color="auto"/>
                                <w:bottom w:val="none" w:sz="0" w:space="0" w:color="auto"/>
                                <w:right w:val="none" w:sz="0" w:space="0" w:color="auto"/>
                              </w:divBdr>
                              <w:divsChild>
                                <w:div w:id="170859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272220">
      <w:bodyDiv w:val="1"/>
      <w:marLeft w:val="0"/>
      <w:marRight w:val="0"/>
      <w:marTop w:val="0"/>
      <w:marBottom w:val="0"/>
      <w:divBdr>
        <w:top w:val="none" w:sz="0" w:space="0" w:color="auto"/>
        <w:left w:val="none" w:sz="0" w:space="0" w:color="auto"/>
        <w:bottom w:val="none" w:sz="0" w:space="0" w:color="auto"/>
        <w:right w:val="none" w:sz="0" w:space="0" w:color="auto"/>
      </w:divBdr>
      <w:divsChild>
        <w:div w:id="567036077">
          <w:marLeft w:val="0"/>
          <w:marRight w:val="0"/>
          <w:marTop w:val="0"/>
          <w:marBottom w:val="0"/>
          <w:divBdr>
            <w:top w:val="none" w:sz="0" w:space="0" w:color="auto"/>
            <w:left w:val="none" w:sz="0" w:space="0" w:color="auto"/>
            <w:bottom w:val="none" w:sz="0" w:space="0" w:color="auto"/>
            <w:right w:val="none" w:sz="0" w:space="0" w:color="auto"/>
          </w:divBdr>
        </w:div>
        <w:div w:id="577061727">
          <w:marLeft w:val="0"/>
          <w:marRight w:val="0"/>
          <w:marTop w:val="0"/>
          <w:marBottom w:val="0"/>
          <w:divBdr>
            <w:top w:val="none" w:sz="0" w:space="0" w:color="auto"/>
            <w:left w:val="none" w:sz="0" w:space="0" w:color="auto"/>
            <w:bottom w:val="none" w:sz="0" w:space="0" w:color="auto"/>
            <w:right w:val="none" w:sz="0" w:space="0" w:color="auto"/>
          </w:divBdr>
        </w:div>
        <w:div w:id="589700898">
          <w:marLeft w:val="0"/>
          <w:marRight w:val="0"/>
          <w:marTop w:val="0"/>
          <w:marBottom w:val="0"/>
          <w:divBdr>
            <w:top w:val="none" w:sz="0" w:space="0" w:color="auto"/>
            <w:left w:val="none" w:sz="0" w:space="0" w:color="auto"/>
            <w:bottom w:val="none" w:sz="0" w:space="0" w:color="auto"/>
            <w:right w:val="none" w:sz="0" w:space="0" w:color="auto"/>
          </w:divBdr>
        </w:div>
        <w:div w:id="997735745">
          <w:marLeft w:val="0"/>
          <w:marRight w:val="0"/>
          <w:marTop w:val="0"/>
          <w:marBottom w:val="0"/>
          <w:divBdr>
            <w:top w:val="none" w:sz="0" w:space="0" w:color="auto"/>
            <w:left w:val="none" w:sz="0" w:space="0" w:color="auto"/>
            <w:bottom w:val="none" w:sz="0" w:space="0" w:color="auto"/>
            <w:right w:val="none" w:sz="0" w:space="0" w:color="auto"/>
          </w:divBdr>
        </w:div>
        <w:div w:id="1767190471">
          <w:marLeft w:val="0"/>
          <w:marRight w:val="0"/>
          <w:marTop w:val="0"/>
          <w:marBottom w:val="0"/>
          <w:divBdr>
            <w:top w:val="none" w:sz="0" w:space="0" w:color="auto"/>
            <w:left w:val="none" w:sz="0" w:space="0" w:color="auto"/>
            <w:bottom w:val="none" w:sz="0" w:space="0" w:color="auto"/>
            <w:right w:val="none" w:sz="0" w:space="0" w:color="auto"/>
          </w:divBdr>
        </w:div>
        <w:div w:id="1803964943">
          <w:marLeft w:val="0"/>
          <w:marRight w:val="0"/>
          <w:marTop w:val="0"/>
          <w:marBottom w:val="0"/>
          <w:divBdr>
            <w:top w:val="none" w:sz="0" w:space="0" w:color="auto"/>
            <w:left w:val="none" w:sz="0" w:space="0" w:color="auto"/>
            <w:bottom w:val="none" w:sz="0" w:space="0" w:color="auto"/>
            <w:right w:val="none" w:sz="0" w:space="0" w:color="auto"/>
          </w:divBdr>
        </w:div>
        <w:div w:id="1871262613">
          <w:marLeft w:val="0"/>
          <w:marRight w:val="0"/>
          <w:marTop w:val="0"/>
          <w:marBottom w:val="0"/>
          <w:divBdr>
            <w:top w:val="none" w:sz="0" w:space="0" w:color="auto"/>
            <w:left w:val="none" w:sz="0" w:space="0" w:color="auto"/>
            <w:bottom w:val="none" w:sz="0" w:space="0" w:color="auto"/>
            <w:right w:val="none" w:sz="0" w:space="0" w:color="auto"/>
          </w:divBdr>
        </w:div>
        <w:div w:id="2076312666">
          <w:marLeft w:val="0"/>
          <w:marRight w:val="0"/>
          <w:marTop w:val="0"/>
          <w:marBottom w:val="0"/>
          <w:divBdr>
            <w:top w:val="none" w:sz="0" w:space="0" w:color="auto"/>
            <w:left w:val="none" w:sz="0" w:space="0" w:color="auto"/>
            <w:bottom w:val="none" w:sz="0" w:space="0" w:color="auto"/>
            <w:right w:val="none" w:sz="0" w:space="0" w:color="auto"/>
          </w:divBdr>
        </w:div>
      </w:divsChild>
    </w:div>
    <w:div w:id="308481019">
      <w:bodyDiv w:val="1"/>
      <w:marLeft w:val="0"/>
      <w:marRight w:val="0"/>
      <w:marTop w:val="0"/>
      <w:marBottom w:val="0"/>
      <w:divBdr>
        <w:top w:val="none" w:sz="0" w:space="0" w:color="auto"/>
        <w:left w:val="none" w:sz="0" w:space="0" w:color="auto"/>
        <w:bottom w:val="none" w:sz="0" w:space="0" w:color="auto"/>
        <w:right w:val="none" w:sz="0" w:space="0" w:color="auto"/>
      </w:divBdr>
    </w:div>
    <w:div w:id="413820116">
      <w:bodyDiv w:val="1"/>
      <w:marLeft w:val="0"/>
      <w:marRight w:val="0"/>
      <w:marTop w:val="0"/>
      <w:marBottom w:val="0"/>
      <w:divBdr>
        <w:top w:val="none" w:sz="0" w:space="0" w:color="auto"/>
        <w:left w:val="none" w:sz="0" w:space="0" w:color="auto"/>
        <w:bottom w:val="none" w:sz="0" w:space="0" w:color="auto"/>
        <w:right w:val="none" w:sz="0" w:space="0" w:color="auto"/>
      </w:divBdr>
    </w:div>
    <w:div w:id="1035158795">
      <w:bodyDiv w:val="1"/>
      <w:marLeft w:val="0"/>
      <w:marRight w:val="0"/>
      <w:marTop w:val="0"/>
      <w:marBottom w:val="0"/>
      <w:divBdr>
        <w:top w:val="none" w:sz="0" w:space="0" w:color="auto"/>
        <w:left w:val="none" w:sz="0" w:space="0" w:color="auto"/>
        <w:bottom w:val="none" w:sz="0" w:space="0" w:color="auto"/>
        <w:right w:val="none" w:sz="0" w:space="0" w:color="auto"/>
      </w:divBdr>
    </w:div>
    <w:div w:id="1076243081">
      <w:bodyDiv w:val="1"/>
      <w:marLeft w:val="0"/>
      <w:marRight w:val="0"/>
      <w:marTop w:val="0"/>
      <w:marBottom w:val="0"/>
      <w:divBdr>
        <w:top w:val="none" w:sz="0" w:space="0" w:color="auto"/>
        <w:left w:val="none" w:sz="0" w:space="0" w:color="auto"/>
        <w:bottom w:val="none" w:sz="0" w:space="0" w:color="auto"/>
        <w:right w:val="none" w:sz="0" w:space="0" w:color="auto"/>
      </w:divBdr>
    </w:div>
    <w:div w:id="1299919883">
      <w:bodyDiv w:val="1"/>
      <w:marLeft w:val="0"/>
      <w:marRight w:val="0"/>
      <w:marTop w:val="0"/>
      <w:marBottom w:val="0"/>
      <w:divBdr>
        <w:top w:val="none" w:sz="0" w:space="0" w:color="auto"/>
        <w:left w:val="none" w:sz="0" w:space="0" w:color="auto"/>
        <w:bottom w:val="none" w:sz="0" w:space="0" w:color="auto"/>
        <w:right w:val="none" w:sz="0" w:space="0" w:color="auto"/>
      </w:divBdr>
      <w:divsChild>
        <w:div w:id="15278845">
          <w:marLeft w:val="0"/>
          <w:marRight w:val="0"/>
          <w:marTop w:val="0"/>
          <w:marBottom w:val="0"/>
          <w:divBdr>
            <w:top w:val="none" w:sz="0" w:space="0" w:color="auto"/>
            <w:left w:val="none" w:sz="0" w:space="0" w:color="auto"/>
            <w:bottom w:val="none" w:sz="0" w:space="0" w:color="auto"/>
            <w:right w:val="none" w:sz="0" w:space="0" w:color="auto"/>
          </w:divBdr>
        </w:div>
        <w:div w:id="1603412280">
          <w:marLeft w:val="0"/>
          <w:marRight w:val="0"/>
          <w:marTop w:val="0"/>
          <w:marBottom w:val="0"/>
          <w:divBdr>
            <w:top w:val="none" w:sz="0" w:space="0" w:color="auto"/>
            <w:left w:val="none" w:sz="0" w:space="0" w:color="auto"/>
            <w:bottom w:val="none" w:sz="0" w:space="0" w:color="auto"/>
            <w:right w:val="none" w:sz="0" w:space="0" w:color="auto"/>
          </w:divBdr>
          <w:divsChild>
            <w:div w:id="1767531526">
              <w:marLeft w:val="0"/>
              <w:marRight w:val="0"/>
              <w:marTop w:val="0"/>
              <w:marBottom w:val="0"/>
              <w:divBdr>
                <w:top w:val="none" w:sz="0" w:space="0" w:color="auto"/>
                <w:left w:val="none" w:sz="0" w:space="0" w:color="auto"/>
                <w:bottom w:val="none" w:sz="0" w:space="0" w:color="auto"/>
                <w:right w:val="none" w:sz="0" w:space="0" w:color="auto"/>
              </w:divBdr>
            </w:div>
            <w:div w:id="1809473182">
              <w:marLeft w:val="0"/>
              <w:marRight w:val="0"/>
              <w:marTop w:val="0"/>
              <w:marBottom w:val="0"/>
              <w:divBdr>
                <w:top w:val="none" w:sz="0" w:space="0" w:color="auto"/>
                <w:left w:val="none" w:sz="0" w:space="0" w:color="auto"/>
                <w:bottom w:val="none" w:sz="0" w:space="0" w:color="auto"/>
                <w:right w:val="none" w:sz="0" w:space="0" w:color="auto"/>
              </w:divBdr>
            </w:div>
          </w:divsChild>
        </w:div>
        <w:div w:id="1613977686">
          <w:marLeft w:val="0"/>
          <w:marRight w:val="0"/>
          <w:marTop w:val="0"/>
          <w:marBottom w:val="0"/>
          <w:divBdr>
            <w:top w:val="none" w:sz="0" w:space="0" w:color="auto"/>
            <w:left w:val="none" w:sz="0" w:space="0" w:color="auto"/>
            <w:bottom w:val="none" w:sz="0" w:space="0" w:color="auto"/>
            <w:right w:val="none" w:sz="0" w:space="0" w:color="auto"/>
          </w:divBdr>
        </w:div>
      </w:divsChild>
    </w:div>
    <w:div w:id="1776515807">
      <w:bodyDiv w:val="1"/>
      <w:marLeft w:val="0"/>
      <w:marRight w:val="0"/>
      <w:marTop w:val="0"/>
      <w:marBottom w:val="0"/>
      <w:divBdr>
        <w:top w:val="none" w:sz="0" w:space="0" w:color="auto"/>
        <w:left w:val="none" w:sz="0" w:space="0" w:color="auto"/>
        <w:bottom w:val="none" w:sz="0" w:space="0" w:color="auto"/>
        <w:right w:val="none" w:sz="0" w:space="0" w:color="auto"/>
      </w:divBdr>
    </w:div>
    <w:div w:id="1972051864">
      <w:bodyDiv w:val="1"/>
      <w:marLeft w:val="0"/>
      <w:marRight w:val="0"/>
      <w:marTop w:val="0"/>
      <w:marBottom w:val="0"/>
      <w:divBdr>
        <w:top w:val="none" w:sz="0" w:space="0" w:color="auto"/>
        <w:left w:val="none" w:sz="0" w:space="0" w:color="auto"/>
        <w:bottom w:val="none" w:sz="0" w:space="0" w:color="auto"/>
        <w:right w:val="none" w:sz="0" w:space="0" w:color="auto"/>
      </w:divBdr>
    </w:div>
    <w:div w:id="2019261138">
      <w:bodyDiv w:val="1"/>
      <w:marLeft w:val="0"/>
      <w:marRight w:val="0"/>
      <w:marTop w:val="0"/>
      <w:marBottom w:val="0"/>
      <w:divBdr>
        <w:top w:val="none" w:sz="0" w:space="0" w:color="auto"/>
        <w:left w:val="none" w:sz="0" w:space="0" w:color="auto"/>
        <w:bottom w:val="none" w:sz="0" w:space="0" w:color="auto"/>
        <w:right w:val="none" w:sz="0" w:space="0" w:color="auto"/>
      </w:divBdr>
    </w:div>
    <w:div w:id="207947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psoroczynski@kig.pl"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www.kig.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User\USTAWI~1\Temp\szablon%20-%20Papier%20firmowy%20KIG%20-%20zewnetrzny-1.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Dysk%20D\Nowy%20folder\PROGNOZY%20NOWE\Waluty0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ysk%20D\Nowy%20folder\PROGNOZY%20NOWE\HZ%20a%20produkcja_81%20(Kn).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sz="1400"/>
              <a:t>Wycena złotego wobec </a:t>
            </a:r>
            <a:r>
              <a:rPr lang="pl-PL" sz="1400"/>
              <a:t>wybranych</a:t>
            </a:r>
            <a:r>
              <a:rPr lang="en-US" sz="1400"/>
              <a:t> walut</a:t>
            </a:r>
          </a:p>
        </c:rich>
      </c:tx>
      <c:layout>
        <c:manualLayout>
          <c:xMode val="edge"/>
          <c:yMode val="edge"/>
          <c:x val="0.17408092738407699"/>
          <c:y val="2.7777777777777776E-2"/>
        </c:manualLayout>
      </c:layout>
      <c:overlay val="0"/>
    </c:title>
    <c:autoTitleDeleted val="0"/>
    <c:plotArea>
      <c:layout>
        <c:manualLayout>
          <c:layoutTarget val="inner"/>
          <c:xMode val="edge"/>
          <c:yMode val="edge"/>
          <c:x val="9.2403501104933838E-2"/>
          <c:y val="0.17218759113444151"/>
          <c:w val="0.87723771104736081"/>
          <c:h val="0.52603200641586467"/>
        </c:manualLayout>
      </c:layout>
      <c:lineChart>
        <c:grouping val="standard"/>
        <c:varyColors val="0"/>
        <c:ser>
          <c:idx val="0"/>
          <c:order val="0"/>
          <c:tx>
            <c:strRef>
              <c:f>Arkusz1!$R$31</c:f>
              <c:strCache>
                <c:ptCount val="1"/>
                <c:pt idx="0">
                  <c:v>EUR</c:v>
                </c:pt>
              </c:strCache>
            </c:strRef>
          </c:tx>
          <c:spPr>
            <a:ln w="38100">
              <a:solidFill>
                <a:schemeClr val="bg1">
                  <a:lumMod val="65000"/>
                </a:schemeClr>
              </a:solidFill>
            </a:ln>
          </c:spPr>
          <c:marker>
            <c:symbol val="none"/>
          </c:marker>
          <c:cat>
            <c:strRef>
              <c:f>Arkusz1!$AE$30:$CU$30</c:f>
              <c:strCache>
                <c:ptCount val="69"/>
                <c:pt idx="0">
                  <c:v>2019 I</c:v>
                </c:pt>
                <c:pt idx="1">
                  <c:v>2019 II</c:v>
                </c:pt>
                <c:pt idx="2">
                  <c:v>2019 III</c:v>
                </c:pt>
                <c:pt idx="3">
                  <c:v>2019 IV</c:v>
                </c:pt>
                <c:pt idx="4">
                  <c:v>2019 V</c:v>
                </c:pt>
                <c:pt idx="5">
                  <c:v>2019 VI</c:v>
                </c:pt>
                <c:pt idx="6">
                  <c:v>2019 VII</c:v>
                </c:pt>
                <c:pt idx="7">
                  <c:v>2019 VIII</c:v>
                </c:pt>
                <c:pt idx="8">
                  <c:v>2019 IX</c:v>
                </c:pt>
                <c:pt idx="9">
                  <c:v>2019 X</c:v>
                </c:pt>
                <c:pt idx="10">
                  <c:v>2019 XI</c:v>
                </c:pt>
                <c:pt idx="11">
                  <c:v>2019 XII</c:v>
                </c:pt>
                <c:pt idx="12">
                  <c:v>2020 I</c:v>
                </c:pt>
                <c:pt idx="13">
                  <c:v>2020 II</c:v>
                </c:pt>
                <c:pt idx="14">
                  <c:v>2020 III</c:v>
                </c:pt>
                <c:pt idx="15">
                  <c:v>2020 IV</c:v>
                </c:pt>
                <c:pt idx="16">
                  <c:v>2020 V</c:v>
                </c:pt>
                <c:pt idx="17">
                  <c:v>2020 VI</c:v>
                </c:pt>
                <c:pt idx="18">
                  <c:v>2020 VII</c:v>
                </c:pt>
                <c:pt idx="19">
                  <c:v>2020 VIII</c:v>
                </c:pt>
                <c:pt idx="20">
                  <c:v>2020 IX</c:v>
                </c:pt>
                <c:pt idx="21">
                  <c:v>2020 X</c:v>
                </c:pt>
                <c:pt idx="22">
                  <c:v>2020 XI</c:v>
                </c:pt>
                <c:pt idx="23">
                  <c:v>2020 XII</c:v>
                </c:pt>
                <c:pt idx="24">
                  <c:v>2021 I</c:v>
                </c:pt>
                <c:pt idx="25">
                  <c:v>2021 II</c:v>
                </c:pt>
                <c:pt idx="26">
                  <c:v>2021 III</c:v>
                </c:pt>
                <c:pt idx="27">
                  <c:v>2021 IV</c:v>
                </c:pt>
                <c:pt idx="28">
                  <c:v>2021 V</c:v>
                </c:pt>
                <c:pt idx="29">
                  <c:v>2021 VI</c:v>
                </c:pt>
                <c:pt idx="30">
                  <c:v>2021 VII</c:v>
                </c:pt>
                <c:pt idx="31">
                  <c:v>2021 VIII</c:v>
                </c:pt>
                <c:pt idx="32">
                  <c:v>2021 IX</c:v>
                </c:pt>
                <c:pt idx="33">
                  <c:v>2021 X</c:v>
                </c:pt>
                <c:pt idx="34">
                  <c:v>2021 XI</c:v>
                </c:pt>
                <c:pt idx="35">
                  <c:v>2021 XII</c:v>
                </c:pt>
                <c:pt idx="36">
                  <c:v>2022 I</c:v>
                </c:pt>
                <c:pt idx="37">
                  <c:v>2022 II</c:v>
                </c:pt>
                <c:pt idx="38">
                  <c:v>2022 III</c:v>
                </c:pt>
                <c:pt idx="39">
                  <c:v>2022 IV</c:v>
                </c:pt>
                <c:pt idx="40">
                  <c:v>2022 V</c:v>
                </c:pt>
                <c:pt idx="41">
                  <c:v>2022 VI</c:v>
                </c:pt>
                <c:pt idx="42">
                  <c:v>2022 VII</c:v>
                </c:pt>
                <c:pt idx="43">
                  <c:v>2022 VIII</c:v>
                </c:pt>
                <c:pt idx="44">
                  <c:v>2022 IX</c:v>
                </c:pt>
                <c:pt idx="45">
                  <c:v>2022 X</c:v>
                </c:pt>
                <c:pt idx="46">
                  <c:v>2022 XI</c:v>
                </c:pt>
                <c:pt idx="47">
                  <c:v>2022 XII</c:v>
                </c:pt>
                <c:pt idx="48">
                  <c:v>2023 I</c:v>
                </c:pt>
                <c:pt idx="49">
                  <c:v>2023 II</c:v>
                </c:pt>
                <c:pt idx="50">
                  <c:v>2023 III</c:v>
                </c:pt>
                <c:pt idx="51">
                  <c:v>2023 IV</c:v>
                </c:pt>
                <c:pt idx="52">
                  <c:v>2023 V</c:v>
                </c:pt>
                <c:pt idx="53">
                  <c:v>2023 VI</c:v>
                </c:pt>
                <c:pt idx="54">
                  <c:v>2023 VII</c:v>
                </c:pt>
                <c:pt idx="55">
                  <c:v>2023 VIII</c:v>
                </c:pt>
                <c:pt idx="56">
                  <c:v>2023 IX</c:v>
                </c:pt>
                <c:pt idx="57">
                  <c:v>2023 X</c:v>
                </c:pt>
                <c:pt idx="58">
                  <c:v>2023 XI</c:v>
                </c:pt>
                <c:pt idx="59">
                  <c:v>2023 XII</c:v>
                </c:pt>
                <c:pt idx="60">
                  <c:v>2024 I</c:v>
                </c:pt>
                <c:pt idx="61">
                  <c:v>2024 II</c:v>
                </c:pt>
                <c:pt idx="62">
                  <c:v>2024 III</c:v>
                </c:pt>
                <c:pt idx="63">
                  <c:v>2024 IV</c:v>
                </c:pt>
                <c:pt idx="64">
                  <c:v>2024 V</c:v>
                </c:pt>
                <c:pt idx="65">
                  <c:v>2024 VI</c:v>
                </c:pt>
                <c:pt idx="66">
                  <c:v>2024 VII</c:v>
                </c:pt>
                <c:pt idx="67">
                  <c:v>2024 VIII</c:v>
                </c:pt>
                <c:pt idx="68">
                  <c:v>2024 IX</c:v>
                </c:pt>
              </c:strCache>
            </c:strRef>
          </c:cat>
          <c:val>
            <c:numRef>
              <c:f>Arkusz1!$AE$31:$CU$31</c:f>
              <c:numCache>
                <c:formatCode>General</c:formatCode>
                <c:ptCount val="69"/>
                <c:pt idx="0">
                  <c:v>4.2953999999999999</c:v>
                </c:pt>
                <c:pt idx="1">
                  <c:v>4.3156999999999996</c:v>
                </c:pt>
                <c:pt idx="2">
                  <c:v>4.2995999999999999</c:v>
                </c:pt>
                <c:pt idx="3">
                  <c:v>4.2873999999999999</c:v>
                </c:pt>
                <c:pt idx="4">
                  <c:v>4.2965</c:v>
                </c:pt>
                <c:pt idx="5" formatCode="0.0000">
                  <c:v>4.266</c:v>
                </c:pt>
                <c:pt idx="6">
                  <c:v>4.2598000000000003</c:v>
                </c:pt>
                <c:pt idx="7">
                  <c:v>4.3437000000000001</c:v>
                </c:pt>
                <c:pt idx="8">
                  <c:v>4.3547000000000002</c:v>
                </c:pt>
                <c:pt idx="9" formatCode="0.0000">
                  <c:v>4.3025000000000002</c:v>
                </c:pt>
                <c:pt idx="10" formatCode="0.0000">
                  <c:v>4.2843</c:v>
                </c:pt>
                <c:pt idx="11">
                  <c:v>4.2721</c:v>
                </c:pt>
                <c:pt idx="12">
                  <c:v>4.2504</c:v>
                </c:pt>
                <c:pt idx="13">
                  <c:v>4.2789000000000001</c:v>
                </c:pt>
                <c:pt idx="14">
                  <c:v>4.4356</c:v>
                </c:pt>
                <c:pt idx="15" formatCode="0.0000">
                  <c:v>4.5449999999999999</c:v>
                </c:pt>
                <c:pt idx="16">
                  <c:v>4.5291000000000006</c:v>
                </c:pt>
                <c:pt idx="17" formatCode="0.0000">
                  <c:v>4.4450000000000003</c:v>
                </c:pt>
                <c:pt idx="18">
                  <c:v>4.4527999999999999</c:v>
                </c:pt>
                <c:pt idx="19">
                  <c:v>4.4020999999999999</c:v>
                </c:pt>
                <c:pt idx="20" formatCode="0.0000">
                  <c:v>4.4740000000000002</c:v>
                </c:pt>
                <c:pt idx="21">
                  <c:v>4.5411000000000001</c:v>
                </c:pt>
                <c:pt idx="22">
                  <c:v>4.5023</c:v>
                </c:pt>
                <c:pt idx="23">
                  <c:v>4.4766000000000004</c:v>
                </c:pt>
                <c:pt idx="24">
                  <c:v>4.5434999999999999</c:v>
                </c:pt>
                <c:pt idx="25">
                  <c:v>4.4988000000000001</c:v>
                </c:pt>
                <c:pt idx="26">
                  <c:v>4.6006999999999998</c:v>
                </c:pt>
                <c:pt idx="27" formatCode="0.0000">
                  <c:v>4.5657999999999994</c:v>
                </c:pt>
                <c:pt idx="28" formatCode="0.0000">
                  <c:v>4.5301</c:v>
                </c:pt>
                <c:pt idx="29" formatCode="0.0000">
                  <c:v>4.5015000000000001</c:v>
                </c:pt>
                <c:pt idx="30" formatCode="0.0000">
                  <c:v>4.5629999999999997</c:v>
                </c:pt>
                <c:pt idx="31" formatCode="0.0000">
                  <c:v>4.57</c:v>
                </c:pt>
                <c:pt idx="32" formatCode="0.0000">
                  <c:v>4.5663999999999998</c:v>
                </c:pt>
                <c:pt idx="33" formatCode="0.0000">
                  <c:v>4.5952000000000002</c:v>
                </c:pt>
                <c:pt idx="34" formatCode="0.0000">
                  <c:v>4.6508000000000003</c:v>
                </c:pt>
                <c:pt idx="35" formatCode="0.0000">
                  <c:v>4.6162999999999998</c:v>
                </c:pt>
                <c:pt idx="36" formatCode="0.0000">
                  <c:v>4.5548000000000002</c:v>
                </c:pt>
                <c:pt idx="37" formatCode="0.0000">
                  <c:v>4.5538999999999996</c:v>
                </c:pt>
                <c:pt idx="38" formatCode="0.0000">
                  <c:v>4.7603</c:v>
                </c:pt>
                <c:pt idx="39" formatCode="0.0000">
                  <c:v>4.6464999999999996</c:v>
                </c:pt>
                <c:pt idx="40" formatCode="0.0000">
                  <c:v>4.6502999999999997</c:v>
                </c:pt>
                <c:pt idx="41" formatCode="0.0000">
                  <c:v>4.6456999999999997</c:v>
                </c:pt>
                <c:pt idx="42" formatCode="0.0000">
                  <c:v>4.7712000000000003</c:v>
                </c:pt>
                <c:pt idx="43" formatCode="0.0000">
                  <c:v>4.7216000000000005</c:v>
                </c:pt>
                <c:pt idx="44" formatCode="0.0000">
                  <c:v>4.7389999999999999</c:v>
                </c:pt>
                <c:pt idx="45" formatCode="0.0000">
                  <c:v>4.8087999999999997</c:v>
                </c:pt>
                <c:pt idx="46" formatCode="0.0000">
                  <c:v>4.6977000000000002</c:v>
                </c:pt>
                <c:pt idx="47" formatCode="0.0000">
                  <c:v>4.6798000000000002</c:v>
                </c:pt>
                <c:pt idx="48" formatCode="0.0000">
                  <c:v>4.6967999999999996</c:v>
                </c:pt>
                <c:pt idx="49" formatCode="0.0000">
                  <c:v>4.7427000000000001</c:v>
                </c:pt>
                <c:pt idx="50" formatCode="0.0000">
                  <c:v>4.6924999999999999</c:v>
                </c:pt>
                <c:pt idx="51" formatCode="0.0000">
                  <c:v>4.6414</c:v>
                </c:pt>
                <c:pt idx="52" formatCode="0.0000">
                  <c:v>4.5411000000000001</c:v>
                </c:pt>
                <c:pt idx="53" formatCode="0.0000">
                  <c:v>4.4648000000000003</c:v>
                </c:pt>
                <c:pt idx="54" formatCode="0.0000">
                  <c:v>4.4455</c:v>
                </c:pt>
                <c:pt idx="55" formatCode="0.0000">
                  <c:v>4.4599000000000002</c:v>
                </c:pt>
                <c:pt idx="56" formatCode="0.0000">
                  <c:v>4.5939999999999994</c:v>
                </c:pt>
                <c:pt idx="57" formatCode="0.0000">
                  <c:v>4.5186000000000002</c:v>
                </c:pt>
                <c:pt idx="58" formatCode="0.0000">
                  <c:v>4.4032999999999998</c:v>
                </c:pt>
                <c:pt idx="59" formatCode="0.0000">
                  <c:v>4.3323</c:v>
                </c:pt>
                <c:pt idx="60" formatCode="0.0000">
                  <c:v>4.3651999999999997</c:v>
                </c:pt>
                <c:pt idx="61" formatCode="0.0000">
                  <c:v>4.3273999999999999</c:v>
                </c:pt>
                <c:pt idx="62" formatCode="0.0000">
                  <c:v>4.3074000000000003</c:v>
                </c:pt>
                <c:pt idx="63" formatCode="0.0000">
                  <c:v>4.3026</c:v>
                </c:pt>
                <c:pt idx="64" formatCode="0.0000">
                  <c:v>4.2848000000000006</c:v>
                </c:pt>
                <c:pt idx="65" formatCode="0.0000">
                  <c:v>4.3176999999999994</c:v>
                </c:pt>
                <c:pt idx="66" formatCode="0.0000">
                  <c:v>4.2811000000000003</c:v>
                </c:pt>
                <c:pt idx="67" formatCode="0.0000">
                  <c:v>4.2918000000000003</c:v>
                </c:pt>
                <c:pt idx="68" formatCode="0.0000">
                  <c:v>4.2782</c:v>
                </c:pt>
              </c:numCache>
            </c:numRef>
          </c:val>
          <c:smooth val="0"/>
          <c:extLst>
            <c:ext xmlns:c16="http://schemas.microsoft.com/office/drawing/2014/chart" uri="{C3380CC4-5D6E-409C-BE32-E72D297353CC}">
              <c16:uniqueId val="{00000000-0F62-415B-BEC3-90BF8D0369D3}"/>
            </c:ext>
          </c:extLst>
        </c:ser>
        <c:ser>
          <c:idx val="1"/>
          <c:order val="1"/>
          <c:tx>
            <c:strRef>
              <c:f>Arkusz1!$R$32</c:f>
              <c:strCache>
                <c:ptCount val="1"/>
                <c:pt idx="0">
                  <c:v>USD</c:v>
                </c:pt>
              </c:strCache>
            </c:strRef>
          </c:tx>
          <c:spPr>
            <a:ln w="38100">
              <a:solidFill>
                <a:schemeClr val="bg1">
                  <a:lumMod val="85000"/>
                </a:schemeClr>
              </a:solidFill>
            </a:ln>
          </c:spPr>
          <c:marker>
            <c:symbol val="none"/>
          </c:marker>
          <c:cat>
            <c:strRef>
              <c:f>Arkusz1!$AE$30:$CU$30</c:f>
              <c:strCache>
                <c:ptCount val="69"/>
                <c:pt idx="0">
                  <c:v>2019 I</c:v>
                </c:pt>
                <c:pt idx="1">
                  <c:v>2019 II</c:v>
                </c:pt>
                <c:pt idx="2">
                  <c:v>2019 III</c:v>
                </c:pt>
                <c:pt idx="3">
                  <c:v>2019 IV</c:v>
                </c:pt>
                <c:pt idx="4">
                  <c:v>2019 V</c:v>
                </c:pt>
                <c:pt idx="5">
                  <c:v>2019 VI</c:v>
                </c:pt>
                <c:pt idx="6">
                  <c:v>2019 VII</c:v>
                </c:pt>
                <c:pt idx="7">
                  <c:v>2019 VIII</c:v>
                </c:pt>
                <c:pt idx="8">
                  <c:v>2019 IX</c:v>
                </c:pt>
                <c:pt idx="9">
                  <c:v>2019 X</c:v>
                </c:pt>
                <c:pt idx="10">
                  <c:v>2019 XI</c:v>
                </c:pt>
                <c:pt idx="11">
                  <c:v>2019 XII</c:v>
                </c:pt>
                <c:pt idx="12">
                  <c:v>2020 I</c:v>
                </c:pt>
                <c:pt idx="13">
                  <c:v>2020 II</c:v>
                </c:pt>
                <c:pt idx="14">
                  <c:v>2020 III</c:v>
                </c:pt>
                <c:pt idx="15">
                  <c:v>2020 IV</c:v>
                </c:pt>
                <c:pt idx="16">
                  <c:v>2020 V</c:v>
                </c:pt>
                <c:pt idx="17">
                  <c:v>2020 VI</c:v>
                </c:pt>
                <c:pt idx="18">
                  <c:v>2020 VII</c:v>
                </c:pt>
                <c:pt idx="19">
                  <c:v>2020 VIII</c:v>
                </c:pt>
                <c:pt idx="20">
                  <c:v>2020 IX</c:v>
                </c:pt>
                <c:pt idx="21">
                  <c:v>2020 X</c:v>
                </c:pt>
                <c:pt idx="22">
                  <c:v>2020 XI</c:v>
                </c:pt>
                <c:pt idx="23">
                  <c:v>2020 XII</c:v>
                </c:pt>
                <c:pt idx="24">
                  <c:v>2021 I</c:v>
                </c:pt>
                <c:pt idx="25">
                  <c:v>2021 II</c:v>
                </c:pt>
                <c:pt idx="26">
                  <c:v>2021 III</c:v>
                </c:pt>
                <c:pt idx="27">
                  <c:v>2021 IV</c:v>
                </c:pt>
                <c:pt idx="28">
                  <c:v>2021 V</c:v>
                </c:pt>
                <c:pt idx="29">
                  <c:v>2021 VI</c:v>
                </c:pt>
                <c:pt idx="30">
                  <c:v>2021 VII</c:v>
                </c:pt>
                <c:pt idx="31">
                  <c:v>2021 VIII</c:v>
                </c:pt>
                <c:pt idx="32">
                  <c:v>2021 IX</c:v>
                </c:pt>
                <c:pt idx="33">
                  <c:v>2021 X</c:v>
                </c:pt>
                <c:pt idx="34">
                  <c:v>2021 XI</c:v>
                </c:pt>
                <c:pt idx="35">
                  <c:v>2021 XII</c:v>
                </c:pt>
                <c:pt idx="36">
                  <c:v>2022 I</c:v>
                </c:pt>
                <c:pt idx="37">
                  <c:v>2022 II</c:v>
                </c:pt>
                <c:pt idx="38">
                  <c:v>2022 III</c:v>
                </c:pt>
                <c:pt idx="39">
                  <c:v>2022 IV</c:v>
                </c:pt>
                <c:pt idx="40">
                  <c:v>2022 V</c:v>
                </c:pt>
                <c:pt idx="41">
                  <c:v>2022 VI</c:v>
                </c:pt>
                <c:pt idx="42">
                  <c:v>2022 VII</c:v>
                </c:pt>
                <c:pt idx="43">
                  <c:v>2022 VIII</c:v>
                </c:pt>
                <c:pt idx="44">
                  <c:v>2022 IX</c:v>
                </c:pt>
                <c:pt idx="45">
                  <c:v>2022 X</c:v>
                </c:pt>
                <c:pt idx="46">
                  <c:v>2022 XI</c:v>
                </c:pt>
                <c:pt idx="47">
                  <c:v>2022 XII</c:v>
                </c:pt>
                <c:pt idx="48">
                  <c:v>2023 I</c:v>
                </c:pt>
                <c:pt idx="49">
                  <c:v>2023 II</c:v>
                </c:pt>
                <c:pt idx="50">
                  <c:v>2023 III</c:v>
                </c:pt>
                <c:pt idx="51">
                  <c:v>2023 IV</c:v>
                </c:pt>
                <c:pt idx="52">
                  <c:v>2023 V</c:v>
                </c:pt>
                <c:pt idx="53">
                  <c:v>2023 VI</c:v>
                </c:pt>
                <c:pt idx="54">
                  <c:v>2023 VII</c:v>
                </c:pt>
                <c:pt idx="55">
                  <c:v>2023 VIII</c:v>
                </c:pt>
                <c:pt idx="56">
                  <c:v>2023 IX</c:v>
                </c:pt>
                <c:pt idx="57">
                  <c:v>2023 X</c:v>
                </c:pt>
                <c:pt idx="58">
                  <c:v>2023 XI</c:v>
                </c:pt>
                <c:pt idx="59">
                  <c:v>2023 XII</c:v>
                </c:pt>
                <c:pt idx="60">
                  <c:v>2024 I</c:v>
                </c:pt>
                <c:pt idx="61">
                  <c:v>2024 II</c:v>
                </c:pt>
                <c:pt idx="62">
                  <c:v>2024 III</c:v>
                </c:pt>
                <c:pt idx="63">
                  <c:v>2024 IV</c:v>
                </c:pt>
                <c:pt idx="64">
                  <c:v>2024 V</c:v>
                </c:pt>
                <c:pt idx="65">
                  <c:v>2024 VI</c:v>
                </c:pt>
                <c:pt idx="66">
                  <c:v>2024 VII</c:v>
                </c:pt>
                <c:pt idx="67">
                  <c:v>2024 VIII</c:v>
                </c:pt>
                <c:pt idx="68">
                  <c:v>2024 IX</c:v>
                </c:pt>
              </c:strCache>
            </c:strRef>
          </c:cat>
          <c:val>
            <c:numRef>
              <c:f>Arkusz1!$AE$32:$CU$32</c:f>
              <c:numCache>
                <c:formatCode>General</c:formatCode>
                <c:ptCount val="69"/>
                <c:pt idx="0">
                  <c:v>3.7617000000000003</c:v>
                </c:pt>
                <c:pt idx="1">
                  <c:v>3.8023000000000002</c:v>
                </c:pt>
                <c:pt idx="2">
                  <c:v>3.8051999999999997</c:v>
                </c:pt>
                <c:pt idx="3">
                  <c:v>3.8144999999999998</c:v>
                </c:pt>
                <c:pt idx="4">
                  <c:v>3.8393000000000002</c:v>
                </c:pt>
                <c:pt idx="5" formatCode="0.0000">
                  <c:v>3.7811000000000003</c:v>
                </c:pt>
                <c:pt idx="6">
                  <c:v>3.7958999999999996</c:v>
                </c:pt>
                <c:pt idx="7">
                  <c:v>3.9067000000000003</c:v>
                </c:pt>
                <c:pt idx="8">
                  <c:v>3.9535</c:v>
                </c:pt>
                <c:pt idx="9" formatCode="0.0000">
                  <c:v>3.8935000000000004</c:v>
                </c:pt>
                <c:pt idx="10" formatCode="0.0000">
                  <c:v>3.8744999999999998</c:v>
                </c:pt>
                <c:pt idx="11">
                  <c:v>3.8443000000000001</c:v>
                </c:pt>
                <c:pt idx="12">
                  <c:v>3.8287</c:v>
                </c:pt>
                <c:pt idx="13">
                  <c:v>3.9200999999999997</c:v>
                </c:pt>
                <c:pt idx="14">
                  <c:v>4.0125999999999999</c:v>
                </c:pt>
                <c:pt idx="15">
                  <c:v>4.1856</c:v>
                </c:pt>
                <c:pt idx="16">
                  <c:v>4.1569000000000003</c:v>
                </c:pt>
                <c:pt idx="17">
                  <c:v>3.9452999999999996</c:v>
                </c:pt>
                <c:pt idx="18">
                  <c:v>3.8942999999999999</c:v>
                </c:pt>
                <c:pt idx="19" formatCode="0.0000">
                  <c:v>3.7189999999999999</c:v>
                </c:pt>
                <c:pt idx="20">
                  <c:v>3.7925999999999997</c:v>
                </c:pt>
                <c:pt idx="21">
                  <c:v>3.8605</c:v>
                </c:pt>
                <c:pt idx="22">
                  <c:v>3.8035000000000001</c:v>
                </c:pt>
                <c:pt idx="23">
                  <c:v>3.6777999999999995</c:v>
                </c:pt>
                <c:pt idx="24">
                  <c:v>3.7304000000000004</c:v>
                </c:pt>
                <c:pt idx="25">
                  <c:v>3.7195999999999998</c:v>
                </c:pt>
                <c:pt idx="26">
                  <c:v>3.8673000000000002</c:v>
                </c:pt>
                <c:pt idx="27" formatCode="0.0000">
                  <c:v>3.8212000000000002</c:v>
                </c:pt>
                <c:pt idx="28" formatCode="0.0000">
                  <c:v>3.7292000000000001</c:v>
                </c:pt>
                <c:pt idx="29" formatCode="0.0000">
                  <c:v>3.7374999999999998</c:v>
                </c:pt>
                <c:pt idx="30" formatCode="0.0000">
                  <c:v>3.8592</c:v>
                </c:pt>
                <c:pt idx="31" formatCode="0.0000">
                  <c:v>3.88</c:v>
                </c:pt>
                <c:pt idx="32" formatCode="0.0000">
                  <c:v>3.8755000000000002</c:v>
                </c:pt>
                <c:pt idx="33" formatCode="0.0000">
                  <c:v>3.9607000000000001</c:v>
                </c:pt>
                <c:pt idx="34" formatCode="0.0000">
                  <c:v>4.0754999999999999</c:v>
                </c:pt>
                <c:pt idx="35" formatCode="0.0000">
                  <c:v>4.0834000000000001</c:v>
                </c:pt>
                <c:pt idx="36" formatCode="0.0000">
                  <c:v>4.0239000000000003</c:v>
                </c:pt>
                <c:pt idx="37" formatCode="0.0000">
                  <c:v>4.0156000000000001</c:v>
                </c:pt>
                <c:pt idx="38" formatCode="0.0000">
                  <c:v>4.3206999999999995</c:v>
                </c:pt>
                <c:pt idx="39" formatCode="0.0000">
                  <c:v>4.2899000000000003</c:v>
                </c:pt>
                <c:pt idx="40" formatCode="0.0000">
                  <c:v>4.3986999999999998</c:v>
                </c:pt>
                <c:pt idx="41" formatCode="0.0000">
                  <c:v>4.3875999999999999</c:v>
                </c:pt>
                <c:pt idx="42" formatCode="0.0000">
                  <c:v>4.6830999999999996</c:v>
                </c:pt>
                <c:pt idx="43" formatCode="0.0000">
                  <c:v>4.6577999999999999</c:v>
                </c:pt>
                <c:pt idx="44" formatCode="0.0000">
                  <c:v>4.7783999999999995</c:v>
                </c:pt>
                <c:pt idx="45" formatCode="0.0000">
                  <c:v>4.8938999999999995</c:v>
                </c:pt>
                <c:pt idx="46" formatCode="0.0000">
                  <c:v>4.6226000000000003</c:v>
                </c:pt>
                <c:pt idx="47" formatCode="0.0000">
                  <c:v>4.4208999999999996</c:v>
                </c:pt>
                <c:pt idx="48" formatCode="0.0000">
                  <c:v>4.3571</c:v>
                </c:pt>
                <c:pt idx="49" formatCode="0.0000">
                  <c:v>4.4264000000000001</c:v>
                </c:pt>
                <c:pt idx="50" formatCode="0.0000">
                  <c:v>4.3914</c:v>
                </c:pt>
                <c:pt idx="51" formatCode="0.0000">
                  <c:v>4.2332999999999998</c:v>
                </c:pt>
                <c:pt idx="52" formatCode="0.0000">
                  <c:v>4.1791</c:v>
                </c:pt>
                <c:pt idx="53" formatCode="0.0000">
                  <c:v>4.1215000000000002</c:v>
                </c:pt>
                <c:pt idx="54" formatCode="0.0000">
                  <c:v>4.0273000000000003</c:v>
                </c:pt>
                <c:pt idx="55" formatCode="0.0000">
                  <c:v>4.0888</c:v>
                </c:pt>
                <c:pt idx="56" formatCode="0.0000">
                  <c:v>4.2973999999999997</c:v>
                </c:pt>
                <c:pt idx="57" formatCode="0.0000">
                  <c:v>4.2758000000000003</c:v>
                </c:pt>
                <c:pt idx="58" formatCode="0.0000">
                  <c:v>4.0787000000000004</c:v>
                </c:pt>
                <c:pt idx="59" formatCode="0.0000">
                  <c:v>3.9672000000000001</c:v>
                </c:pt>
                <c:pt idx="60" formatCode="0.0000">
                  <c:v>4.0011000000000001</c:v>
                </c:pt>
                <c:pt idx="61" formatCode="0.0000">
                  <c:v>4.0083000000000002</c:v>
                </c:pt>
                <c:pt idx="62" formatCode="0.0000">
                  <c:v>3.9657999999999998</c:v>
                </c:pt>
                <c:pt idx="63" formatCode="0.0000">
                  <c:v>4.0106000000000002</c:v>
                </c:pt>
                <c:pt idx="64" formatCode="0.0000">
                  <c:v>3.9674999999999998</c:v>
                </c:pt>
                <c:pt idx="65" formatCode="0.0000">
                  <c:v>4.0126999999999997</c:v>
                </c:pt>
                <c:pt idx="66" formatCode="0.0000">
                  <c:v>3.9462000000000002</c:v>
                </c:pt>
                <c:pt idx="67" formatCode="0.0000">
                  <c:v>3.9019999999999997</c:v>
                </c:pt>
                <c:pt idx="68" formatCode="0.0000">
                  <c:v>3.8500999999999999</c:v>
                </c:pt>
              </c:numCache>
            </c:numRef>
          </c:val>
          <c:smooth val="0"/>
          <c:extLst>
            <c:ext xmlns:c16="http://schemas.microsoft.com/office/drawing/2014/chart" uri="{C3380CC4-5D6E-409C-BE32-E72D297353CC}">
              <c16:uniqueId val="{00000001-0F62-415B-BEC3-90BF8D0369D3}"/>
            </c:ext>
          </c:extLst>
        </c:ser>
        <c:ser>
          <c:idx val="2"/>
          <c:order val="2"/>
          <c:tx>
            <c:strRef>
              <c:f>Arkusz1!$R$33</c:f>
              <c:strCache>
                <c:ptCount val="1"/>
                <c:pt idx="0">
                  <c:v>CHF</c:v>
                </c:pt>
              </c:strCache>
            </c:strRef>
          </c:tx>
          <c:spPr>
            <a:ln w="38100">
              <a:solidFill>
                <a:schemeClr val="tx2">
                  <a:lumMod val="60000"/>
                  <a:lumOff val="40000"/>
                </a:schemeClr>
              </a:solidFill>
            </a:ln>
          </c:spPr>
          <c:marker>
            <c:symbol val="none"/>
          </c:marker>
          <c:cat>
            <c:strRef>
              <c:f>Arkusz1!$AE$30:$CU$30</c:f>
              <c:strCache>
                <c:ptCount val="69"/>
                <c:pt idx="0">
                  <c:v>2019 I</c:v>
                </c:pt>
                <c:pt idx="1">
                  <c:v>2019 II</c:v>
                </c:pt>
                <c:pt idx="2">
                  <c:v>2019 III</c:v>
                </c:pt>
                <c:pt idx="3">
                  <c:v>2019 IV</c:v>
                </c:pt>
                <c:pt idx="4">
                  <c:v>2019 V</c:v>
                </c:pt>
                <c:pt idx="5">
                  <c:v>2019 VI</c:v>
                </c:pt>
                <c:pt idx="6">
                  <c:v>2019 VII</c:v>
                </c:pt>
                <c:pt idx="7">
                  <c:v>2019 VIII</c:v>
                </c:pt>
                <c:pt idx="8">
                  <c:v>2019 IX</c:v>
                </c:pt>
                <c:pt idx="9">
                  <c:v>2019 X</c:v>
                </c:pt>
                <c:pt idx="10">
                  <c:v>2019 XI</c:v>
                </c:pt>
                <c:pt idx="11">
                  <c:v>2019 XII</c:v>
                </c:pt>
                <c:pt idx="12">
                  <c:v>2020 I</c:v>
                </c:pt>
                <c:pt idx="13">
                  <c:v>2020 II</c:v>
                </c:pt>
                <c:pt idx="14">
                  <c:v>2020 III</c:v>
                </c:pt>
                <c:pt idx="15">
                  <c:v>2020 IV</c:v>
                </c:pt>
                <c:pt idx="16">
                  <c:v>2020 V</c:v>
                </c:pt>
                <c:pt idx="17">
                  <c:v>2020 VI</c:v>
                </c:pt>
                <c:pt idx="18">
                  <c:v>2020 VII</c:v>
                </c:pt>
                <c:pt idx="19">
                  <c:v>2020 VIII</c:v>
                </c:pt>
                <c:pt idx="20">
                  <c:v>2020 IX</c:v>
                </c:pt>
                <c:pt idx="21">
                  <c:v>2020 X</c:v>
                </c:pt>
                <c:pt idx="22">
                  <c:v>2020 XI</c:v>
                </c:pt>
                <c:pt idx="23">
                  <c:v>2020 XII</c:v>
                </c:pt>
                <c:pt idx="24">
                  <c:v>2021 I</c:v>
                </c:pt>
                <c:pt idx="25">
                  <c:v>2021 II</c:v>
                </c:pt>
                <c:pt idx="26">
                  <c:v>2021 III</c:v>
                </c:pt>
                <c:pt idx="27">
                  <c:v>2021 IV</c:v>
                </c:pt>
                <c:pt idx="28">
                  <c:v>2021 V</c:v>
                </c:pt>
                <c:pt idx="29">
                  <c:v>2021 VI</c:v>
                </c:pt>
                <c:pt idx="30">
                  <c:v>2021 VII</c:v>
                </c:pt>
                <c:pt idx="31">
                  <c:v>2021 VIII</c:v>
                </c:pt>
                <c:pt idx="32">
                  <c:v>2021 IX</c:v>
                </c:pt>
                <c:pt idx="33">
                  <c:v>2021 X</c:v>
                </c:pt>
                <c:pt idx="34">
                  <c:v>2021 XI</c:v>
                </c:pt>
                <c:pt idx="35">
                  <c:v>2021 XII</c:v>
                </c:pt>
                <c:pt idx="36">
                  <c:v>2022 I</c:v>
                </c:pt>
                <c:pt idx="37">
                  <c:v>2022 II</c:v>
                </c:pt>
                <c:pt idx="38">
                  <c:v>2022 III</c:v>
                </c:pt>
                <c:pt idx="39">
                  <c:v>2022 IV</c:v>
                </c:pt>
                <c:pt idx="40">
                  <c:v>2022 V</c:v>
                </c:pt>
                <c:pt idx="41">
                  <c:v>2022 VI</c:v>
                </c:pt>
                <c:pt idx="42">
                  <c:v>2022 VII</c:v>
                </c:pt>
                <c:pt idx="43">
                  <c:v>2022 VIII</c:v>
                </c:pt>
                <c:pt idx="44">
                  <c:v>2022 IX</c:v>
                </c:pt>
                <c:pt idx="45">
                  <c:v>2022 X</c:v>
                </c:pt>
                <c:pt idx="46">
                  <c:v>2022 XI</c:v>
                </c:pt>
                <c:pt idx="47">
                  <c:v>2022 XII</c:v>
                </c:pt>
                <c:pt idx="48">
                  <c:v>2023 I</c:v>
                </c:pt>
                <c:pt idx="49">
                  <c:v>2023 II</c:v>
                </c:pt>
                <c:pt idx="50">
                  <c:v>2023 III</c:v>
                </c:pt>
                <c:pt idx="51">
                  <c:v>2023 IV</c:v>
                </c:pt>
                <c:pt idx="52">
                  <c:v>2023 V</c:v>
                </c:pt>
                <c:pt idx="53">
                  <c:v>2023 VI</c:v>
                </c:pt>
                <c:pt idx="54">
                  <c:v>2023 VII</c:v>
                </c:pt>
                <c:pt idx="55">
                  <c:v>2023 VIII</c:v>
                </c:pt>
                <c:pt idx="56">
                  <c:v>2023 IX</c:v>
                </c:pt>
                <c:pt idx="57">
                  <c:v>2023 X</c:v>
                </c:pt>
                <c:pt idx="58">
                  <c:v>2023 XI</c:v>
                </c:pt>
                <c:pt idx="59">
                  <c:v>2023 XII</c:v>
                </c:pt>
                <c:pt idx="60">
                  <c:v>2024 I</c:v>
                </c:pt>
                <c:pt idx="61">
                  <c:v>2024 II</c:v>
                </c:pt>
                <c:pt idx="62">
                  <c:v>2024 III</c:v>
                </c:pt>
                <c:pt idx="63">
                  <c:v>2024 IV</c:v>
                </c:pt>
                <c:pt idx="64">
                  <c:v>2024 V</c:v>
                </c:pt>
                <c:pt idx="65">
                  <c:v>2024 VI</c:v>
                </c:pt>
                <c:pt idx="66">
                  <c:v>2024 VII</c:v>
                </c:pt>
                <c:pt idx="67">
                  <c:v>2024 VIII</c:v>
                </c:pt>
                <c:pt idx="68">
                  <c:v>2024 IX</c:v>
                </c:pt>
              </c:strCache>
            </c:strRef>
          </c:cat>
          <c:val>
            <c:numRef>
              <c:f>Arkusz1!$AE$33:$CU$33</c:f>
              <c:numCache>
                <c:formatCode>General</c:formatCode>
                <c:ptCount val="69"/>
                <c:pt idx="0">
                  <c:v>3.8032999999999997</c:v>
                </c:pt>
                <c:pt idx="1">
                  <c:v>3.7974999999999999</c:v>
                </c:pt>
                <c:pt idx="2">
                  <c:v>3.8018999999999998</c:v>
                </c:pt>
                <c:pt idx="3" formatCode="0.0000">
                  <c:v>3.786</c:v>
                </c:pt>
                <c:pt idx="4">
                  <c:v>3.7977999999999996</c:v>
                </c:pt>
                <c:pt idx="5" formatCode="0.0000">
                  <c:v>3.82</c:v>
                </c:pt>
                <c:pt idx="6">
                  <c:v>3.8442000000000003</c:v>
                </c:pt>
                <c:pt idx="7">
                  <c:v>3.9843999999999999</c:v>
                </c:pt>
                <c:pt idx="8">
                  <c:v>3.9918999999999998</c:v>
                </c:pt>
                <c:pt idx="9" formatCode="0.0000">
                  <c:v>3.9180000000000001</c:v>
                </c:pt>
                <c:pt idx="10" formatCode="0.0000">
                  <c:v>3.9019999999999997</c:v>
                </c:pt>
                <c:pt idx="11">
                  <c:v>3.9087000000000001</c:v>
                </c:pt>
                <c:pt idx="12">
                  <c:v>3.9451000000000001</c:v>
                </c:pt>
                <c:pt idx="13">
                  <c:v>4.0166000000000004</c:v>
                </c:pt>
                <c:pt idx="14">
                  <c:v>4.1892000000000005</c:v>
                </c:pt>
                <c:pt idx="15">
                  <c:v>4.3106999999999998</c:v>
                </c:pt>
                <c:pt idx="16">
                  <c:v>4.2838000000000003</c:v>
                </c:pt>
                <c:pt idx="17">
                  <c:v>4.1474000000000002</c:v>
                </c:pt>
                <c:pt idx="18">
                  <c:v>4.1611000000000002</c:v>
                </c:pt>
                <c:pt idx="19">
                  <c:v>4.0881999999999996</c:v>
                </c:pt>
                <c:pt idx="20">
                  <c:v>4.1486999999999998</c:v>
                </c:pt>
                <c:pt idx="21">
                  <c:v>4.2282000000000002</c:v>
                </c:pt>
                <c:pt idx="22">
                  <c:v>4.1783000000000001</c:v>
                </c:pt>
                <c:pt idx="23">
                  <c:v>4.1383000000000001</c:v>
                </c:pt>
                <c:pt idx="24">
                  <c:v>4.2089999999999996</c:v>
                </c:pt>
                <c:pt idx="25">
                  <c:v>4.1442000000000005</c:v>
                </c:pt>
                <c:pt idx="26">
                  <c:v>4.1573000000000002</c:v>
                </c:pt>
                <c:pt idx="27" formatCode="0.0000">
                  <c:v>4.1366000000000005</c:v>
                </c:pt>
                <c:pt idx="28" formatCode="0.0000">
                  <c:v>4.1305000000000005</c:v>
                </c:pt>
                <c:pt idx="29" formatCode="0.0000">
                  <c:v>4.1151999999999997</c:v>
                </c:pt>
                <c:pt idx="30" formatCode="0.0000">
                  <c:v>4.2032999999999996</c:v>
                </c:pt>
                <c:pt idx="31" formatCode="0.0000">
                  <c:v>4.2424999999999997</c:v>
                </c:pt>
                <c:pt idx="32" formatCode="0.0000">
                  <c:v>4.2042999999999999</c:v>
                </c:pt>
                <c:pt idx="33" formatCode="0.0000">
                  <c:v>4.2895000000000003</c:v>
                </c:pt>
                <c:pt idx="34" formatCode="0.0000">
                  <c:v>4.4220999999999995</c:v>
                </c:pt>
                <c:pt idx="35" formatCode="0.0000">
                  <c:v>4.4354000000000005</c:v>
                </c:pt>
                <c:pt idx="36" formatCode="0.0000">
                  <c:v>4.3818000000000001</c:v>
                </c:pt>
                <c:pt idx="37" formatCode="0.0000">
                  <c:v>4.3506</c:v>
                </c:pt>
                <c:pt idx="38" formatCode="0.0000">
                  <c:v>4.6497999999999999</c:v>
                </c:pt>
                <c:pt idx="39" formatCode="0.0000">
                  <c:v>4.5475000000000003</c:v>
                </c:pt>
                <c:pt idx="40" formatCode="0.0000">
                  <c:v>4.4948000000000006</c:v>
                </c:pt>
                <c:pt idx="41" formatCode="0.0000">
                  <c:v>4.5289999999999999</c:v>
                </c:pt>
                <c:pt idx="42" formatCode="0.0000">
                  <c:v>4.8337000000000003</c:v>
                </c:pt>
                <c:pt idx="43" formatCode="0.0000">
                  <c:v>4.8713999999999995</c:v>
                </c:pt>
                <c:pt idx="44" formatCode="0.0000">
                  <c:v>4.9137000000000004</c:v>
                </c:pt>
                <c:pt idx="45" formatCode="0.0000">
                  <c:v>4.9169999999999998</c:v>
                </c:pt>
                <c:pt idx="46" formatCode="0.0000">
                  <c:v>4.7704000000000004</c:v>
                </c:pt>
                <c:pt idx="47" formatCode="0.0000">
                  <c:v>4.7441000000000004</c:v>
                </c:pt>
                <c:pt idx="48" formatCode="0.0000">
                  <c:v>4.7169999999999996</c:v>
                </c:pt>
                <c:pt idx="49" formatCode="0.0000">
                  <c:v>4.7866999999999997</c:v>
                </c:pt>
                <c:pt idx="50" formatCode="0.0000">
                  <c:v>4.7408999999999999</c:v>
                </c:pt>
                <c:pt idx="51" formatCode="0.0000">
                  <c:v>4.7101999999999995</c:v>
                </c:pt>
                <c:pt idx="52" formatCode="0.0000">
                  <c:v>4.6549000000000005</c:v>
                </c:pt>
                <c:pt idx="53" formatCode="0.0000">
                  <c:v>4.5777000000000001</c:v>
                </c:pt>
                <c:pt idx="54" formatCode="0.0000">
                  <c:v>4.6006999999999998</c:v>
                </c:pt>
                <c:pt idx="55" formatCode="0.0000">
                  <c:v>4.6520999999999999</c:v>
                </c:pt>
                <c:pt idx="56" formatCode="0.0000">
                  <c:v>4.7882999999999996</c:v>
                </c:pt>
                <c:pt idx="57" formatCode="0.0000">
                  <c:v>4.7306999999999997</c:v>
                </c:pt>
                <c:pt idx="58" formatCode="0.0000">
                  <c:v>4.5706999999999995</c:v>
                </c:pt>
                <c:pt idx="59" formatCode="0.0000">
                  <c:v>4.5910000000000002</c:v>
                </c:pt>
                <c:pt idx="60" formatCode="0.0000">
                  <c:v>4.6620999999999997</c:v>
                </c:pt>
                <c:pt idx="61" formatCode="0.0000">
                  <c:v>4.5766</c:v>
                </c:pt>
                <c:pt idx="62" formatCode="0.0000">
                  <c:v>4.4620999999999995</c:v>
                </c:pt>
                <c:pt idx="63" formatCode="0.0000">
                  <c:v>4.4105999999999996</c:v>
                </c:pt>
                <c:pt idx="64" formatCode="0.0000">
                  <c:v>4.3598999999999997</c:v>
                </c:pt>
                <c:pt idx="65" formatCode="0.0000">
                  <c:v>4.4859</c:v>
                </c:pt>
                <c:pt idx="66" formatCode="0.0000">
                  <c:v>4.4230999999999998</c:v>
                </c:pt>
                <c:pt idx="67" formatCode="0.0000">
                  <c:v>4.5404999999999998</c:v>
                </c:pt>
                <c:pt idx="68" formatCode="0.0000">
                  <c:v>4.5467000000000004</c:v>
                </c:pt>
              </c:numCache>
            </c:numRef>
          </c:val>
          <c:smooth val="0"/>
          <c:extLst>
            <c:ext xmlns:c16="http://schemas.microsoft.com/office/drawing/2014/chart" uri="{C3380CC4-5D6E-409C-BE32-E72D297353CC}">
              <c16:uniqueId val="{00000002-0F62-415B-BEC3-90BF8D0369D3}"/>
            </c:ext>
          </c:extLst>
        </c:ser>
        <c:dLbls>
          <c:showLegendKey val="0"/>
          <c:showVal val="0"/>
          <c:showCatName val="0"/>
          <c:showSerName val="0"/>
          <c:showPercent val="0"/>
          <c:showBubbleSize val="0"/>
        </c:dLbls>
        <c:smooth val="0"/>
        <c:axId val="325417984"/>
        <c:axId val="348926336"/>
      </c:lineChart>
      <c:catAx>
        <c:axId val="325417984"/>
        <c:scaling>
          <c:orientation val="minMax"/>
        </c:scaling>
        <c:delete val="0"/>
        <c:axPos val="b"/>
        <c:numFmt formatCode="General" sourceLinked="1"/>
        <c:majorTickMark val="none"/>
        <c:minorTickMark val="none"/>
        <c:tickLblPos val="nextTo"/>
        <c:txPr>
          <a:bodyPr rot="-5400000" vert="horz"/>
          <a:lstStyle/>
          <a:p>
            <a:pPr>
              <a:defRPr/>
            </a:pPr>
            <a:endParaRPr lang="pl-PL"/>
          </a:p>
        </c:txPr>
        <c:crossAx val="348926336"/>
        <c:crosses val="autoZero"/>
        <c:auto val="1"/>
        <c:lblAlgn val="ctr"/>
        <c:lblOffset val="100"/>
        <c:noMultiLvlLbl val="0"/>
      </c:catAx>
      <c:valAx>
        <c:axId val="348926336"/>
        <c:scaling>
          <c:orientation val="minMax"/>
          <c:max val="5"/>
          <c:min val="3.6"/>
        </c:scaling>
        <c:delete val="0"/>
        <c:axPos val="l"/>
        <c:majorGridlines/>
        <c:numFmt formatCode="#,##0.00" sourceLinked="0"/>
        <c:majorTickMark val="none"/>
        <c:minorTickMark val="none"/>
        <c:tickLblPos val="nextTo"/>
        <c:spPr>
          <a:ln w="9525">
            <a:noFill/>
          </a:ln>
        </c:spPr>
        <c:crossAx val="325417984"/>
        <c:crosses val="autoZero"/>
        <c:crossBetween val="between"/>
      </c:valAx>
    </c:plotArea>
    <c:legend>
      <c:legendPos val="b"/>
      <c:layout>
        <c:manualLayout>
          <c:xMode val="edge"/>
          <c:yMode val="edge"/>
          <c:x val="0.32436920384951878"/>
          <c:y val="0.88850503062117236"/>
          <c:w val="0.40681714785651796"/>
          <c:h val="8.3717191601049873E-2"/>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1" i="0" u="none" strike="noStrike" baseline="0">
                <a:solidFill>
                  <a:srgbClr val="000000"/>
                </a:solidFill>
                <a:latin typeface="Calibri"/>
                <a:ea typeface="Calibri"/>
                <a:cs typeface="Calibri"/>
              </a:defRPr>
            </a:pPr>
            <a:r>
              <a:rPr lang="pl-PL"/>
              <a:t>Eksport towarów w mln EUR</a:t>
            </a:r>
          </a:p>
        </c:rich>
      </c:tx>
      <c:overlay val="0"/>
    </c:title>
    <c:autoTitleDeleted val="0"/>
    <c:plotArea>
      <c:layout>
        <c:manualLayout>
          <c:layoutTarget val="inner"/>
          <c:xMode val="edge"/>
          <c:yMode val="edge"/>
          <c:x val="0.12172069320266142"/>
          <c:y val="0.16366345295946919"/>
          <c:w val="0.8236260528232463"/>
          <c:h val="0.66117171717171719"/>
        </c:manualLayout>
      </c:layout>
      <c:lineChart>
        <c:grouping val="standard"/>
        <c:varyColors val="0"/>
        <c:ser>
          <c:idx val="0"/>
          <c:order val="0"/>
          <c:tx>
            <c:strRef>
              <c:f>Eksport!$W$135</c:f>
              <c:strCache>
                <c:ptCount val="1"/>
                <c:pt idx="0">
                  <c:v>2022</c:v>
                </c:pt>
              </c:strCache>
            </c:strRef>
          </c:tx>
          <c:spPr>
            <a:ln w="38100">
              <a:solidFill>
                <a:schemeClr val="bg1">
                  <a:lumMod val="75000"/>
                </a:schemeClr>
              </a:solidFill>
            </a:ln>
          </c:spPr>
          <c:marker>
            <c:symbol val="none"/>
          </c:marker>
          <c:cat>
            <c:strRef>
              <c:f>Eksport!$X$134:$AI$134</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Eksport!$X$135:$AI$135</c:f>
              <c:numCache>
                <c:formatCode>#,##0</c:formatCode>
                <c:ptCount val="12"/>
                <c:pt idx="0">
                  <c:v>23743</c:v>
                </c:pt>
                <c:pt idx="1">
                  <c:v>23548</c:v>
                </c:pt>
                <c:pt idx="2">
                  <c:v>27076</c:v>
                </c:pt>
                <c:pt idx="3">
                  <c:v>26000</c:v>
                </c:pt>
                <c:pt idx="4">
                  <c:v>27282</c:v>
                </c:pt>
                <c:pt idx="5">
                  <c:v>29059</c:v>
                </c:pt>
                <c:pt idx="6">
                  <c:v>25767</c:v>
                </c:pt>
                <c:pt idx="7">
                  <c:v>26269</c:v>
                </c:pt>
                <c:pt idx="8">
                  <c:v>29432</c:v>
                </c:pt>
                <c:pt idx="9">
                  <c:v>29227</c:v>
                </c:pt>
                <c:pt idx="10">
                  <c:v>30391</c:v>
                </c:pt>
                <c:pt idx="11">
                  <c:v>26444</c:v>
                </c:pt>
              </c:numCache>
            </c:numRef>
          </c:val>
          <c:smooth val="0"/>
          <c:extLst>
            <c:ext xmlns:c16="http://schemas.microsoft.com/office/drawing/2014/chart" uri="{C3380CC4-5D6E-409C-BE32-E72D297353CC}">
              <c16:uniqueId val="{00000000-B0D6-4230-8FBB-9F5BDA4C04E1}"/>
            </c:ext>
          </c:extLst>
        </c:ser>
        <c:ser>
          <c:idx val="1"/>
          <c:order val="1"/>
          <c:tx>
            <c:strRef>
              <c:f>Eksport!$W$136</c:f>
              <c:strCache>
                <c:ptCount val="1"/>
                <c:pt idx="0">
                  <c:v>2023</c:v>
                </c:pt>
              </c:strCache>
            </c:strRef>
          </c:tx>
          <c:spPr>
            <a:ln w="38100">
              <a:solidFill>
                <a:schemeClr val="tx2">
                  <a:lumMod val="60000"/>
                  <a:lumOff val="40000"/>
                </a:schemeClr>
              </a:solidFill>
            </a:ln>
          </c:spPr>
          <c:marker>
            <c:symbol val="none"/>
          </c:marker>
          <c:cat>
            <c:strRef>
              <c:f>Eksport!$X$134:$AI$134</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Eksport!$X$136:$AI$136</c:f>
              <c:numCache>
                <c:formatCode>#,##0</c:formatCode>
                <c:ptCount val="12"/>
                <c:pt idx="0">
                  <c:v>28305</c:v>
                </c:pt>
                <c:pt idx="1">
                  <c:v>27041</c:v>
                </c:pt>
                <c:pt idx="2">
                  <c:v>31513</c:v>
                </c:pt>
                <c:pt idx="3">
                  <c:v>26567</c:v>
                </c:pt>
                <c:pt idx="4">
                  <c:v>28565</c:v>
                </c:pt>
                <c:pt idx="5">
                  <c:v>29419</c:v>
                </c:pt>
                <c:pt idx="6">
                  <c:v>25927</c:v>
                </c:pt>
                <c:pt idx="7">
                  <c:v>25815</c:v>
                </c:pt>
                <c:pt idx="8">
                  <c:v>27904</c:v>
                </c:pt>
                <c:pt idx="9">
                  <c:v>29850</c:v>
                </c:pt>
                <c:pt idx="10">
                  <c:v>29773</c:v>
                </c:pt>
                <c:pt idx="11">
                  <c:v>24770</c:v>
                </c:pt>
              </c:numCache>
            </c:numRef>
          </c:val>
          <c:smooth val="0"/>
          <c:extLst>
            <c:ext xmlns:c16="http://schemas.microsoft.com/office/drawing/2014/chart" uri="{C3380CC4-5D6E-409C-BE32-E72D297353CC}">
              <c16:uniqueId val="{00000001-B0D6-4230-8FBB-9F5BDA4C04E1}"/>
            </c:ext>
          </c:extLst>
        </c:ser>
        <c:ser>
          <c:idx val="2"/>
          <c:order val="2"/>
          <c:tx>
            <c:strRef>
              <c:f>Eksport!$W$137</c:f>
              <c:strCache>
                <c:ptCount val="1"/>
                <c:pt idx="0">
                  <c:v>2024 (od września prognoza KIG)</c:v>
                </c:pt>
              </c:strCache>
            </c:strRef>
          </c:tx>
          <c:spPr>
            <a:ln w="38100">
              <a:solidFill>
                <a:schemeClr val="bg1">
                  <a:lumMod val="50000"/>
                </a:schemeClr>
              </a:solidFill>
            </a:ln>
          </c:spPr>
          <c:marker>
            <c:symbol val="none"/>
          </c:marker>
          <c:cat>
            <c:strRef>
              <c:f>Eksport!$X$134:$AI$134</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Eksport!$X$137:$AI$137</c:f>
              <c:numCache>
                <c:formatCode>#,##0</c:formatCode>
                <c:ptCount val="12"/>
                <c:pt idx="0">
                  <c:v>27433</c:v>
                </c:pt>
                <c:pt idx="1">
                  <c:v>27589</c:v>
                </c:pt>
                <c:pt idx="2">
                  <c:v>28760</c:v>
                </c:pt>
                <c:pt idx="3">
                  <c:v>28551</c:v>
                </c:pt>
                <c:pt idx="4">
                  <c:v>26847</c:v>
                </c:pt>
                <c:pt idx="5">
                  <c:v>27261</c:v>
                </c:pt>
                <c:pt idx="6">
                  <c:v>27157</c:v>
                </c:pt>
                <c:pt idx="7">
                  <c:v>24952</c:v>
                </c:pt>
                <c:pt idx="8">
                  <c:v>28127.066149315131</c:v>
                </c:pt>
                <c:pt idx="9">
                  <c:v>30625.887780247729</c:v>
                </c:pt>
                <c:pt idx="10">
                  <c:v>30378.176937500797</c:v>
                </c:pt>
                <c:pt idx="11">
                  <c:v>25498.32224955918</c:v>
                </c:pt>
              </c:numCache>
            </c:numRef>
          </c:val>
          <c:smooth val="0"/>
          <c:extLst>
            <c:ext xmlns:c16="http://schemas.microsoft.com/office/drawing/2014/chart" uri="{C3380CC4-5D6E-409C-BE32-E72D297353CC}">
              <c16:uniqueId val="{00000002-B0D6-4230-8FBB-9F5BDA4C04E1}"/>
            </c:ext>
          </c:extLst>
        </c:ser>
        <c:ser>
          <c:idx val="3"/>
          <c:order val="3"/>
          <c:tx>
            <c:strRef>
              <c:f>Eksport!$W$138</c:f>
              <c:strCache>
                <c:ptCount val="1"/>
                <c:pt idx="0">
                  <c:v>2025 (prognoza KIG)</c:v>
                </c:pt>
              </c:strCache>
            </c:strRef>
          </c:tx>
          <c:spPr>
            <a:ln>
              <a:solidFill>
                <a:sysClr val="windowText" lastClr="000000"/>
              </a:solidFill>
            </a:ln>
          </c:spPr>
          <c:marker>
            <c:symbol val="none"/>
          </c:marker>
          <c:cat>
            <c:strRef>
              <c:f>Eksport!$X$134:$AI$134</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Eksport!$X$138:$AI$138</c:f>
              <c:numCache>
                <c:formatCode>#,##0</c:formatCode>
                <c:ptCount val="12"/>
                <c:pt idx="0">
                  <c:v>28837.460155836248</c:v>
                </c:pt>
                <c:pt idx="1">
                  <c:v>29102.992006950455</c:v>
                </c:pt>
                <c:pt idx="2">
                  <c:v>31771.349535478603</c:v>
                </c:pt>
                <c:pt idx="3">
                  <c:v>30018.266854295041</c:v>
                </c:pt>
                <c:pt idx="4">
                  <c:v>29621.361290832432</c:v>
                </c:pt>
                <c:pt idx="5">
                  <c:v>29739.936807375379</c:v>
                </c:pt>
                <c:pt idx="6">
                  <c:v>28597.563704207747</c:v>
                </c:pt>
                <c:pt idx="7">
                  <c:v>27138.988715497682</c:v>
                </c:pt>
                <c:pt idx="8">
                  <c:v>31540.292371923555</c:v>
                </c:pt>
                <c:pt idx="9">
                  <c:v>33817.403010857844</c:v>
                </c:pt>
                <c:pt idx="10">
                  <c:v>32972.667178576288</c:v>
                </c:pt>
                <c:pt idx="11">
                  <c:v>28236.286161419732</c:v>
                </c:pt>
              </c:numCache>
            </c:numRef>
          </c:val>
          <c:smooth val="0"/>
          <c:extLst>
            <c:ext xmlns:c16="http://schemas.microsoft.com/office/drawing/2014/chart" uri="{C3380CC4-5D6E-409C-BE32-E72D297353CC}">
              <c16:uniqueId val="{00000003-B0D6-4230-8FBB-9F5BDA4C04E1}"/>
            </c:ext>
          </c:extLst>
        </c:ser>
        <c:dLbls>
          <c:showLegendKey val="0"/>
          <c:showVal val="0"/>
          <c:showCatName val="0"/>
          <c:showSerName val="0"/>
          <c:showPercent val="0"/>
          <c:showBubbleSize val="0"/>
        </c:dLbls>
        <c:smooth val="0"/>
        <c:axId val="490424608"/>
        <c:axId val="1"/>
      </c:lineChart>
      <c:catAx>
        <c:axId val="490424608"/>
        <c:scaling>
          <c:orientation val="minMax"/>
        </c:scaling>
        <c:delete val="0"/>
        <c:axPos val="b"/>
        <c:numFmt formatCode="General" sourceLinked="1"/>
        <c:majorTickMark val="none"/>
        <c:minorTickMark val="none"/>
        <c:tickLblPos val="nextTo"/>
        <c:txPr>
          <a:bodyPr rot="0" vert="horz"/>
          <a:lstStyle/>
          <a:p>
            <a:pPr>
              <a:defRPr sz="1000" b="0" i="0" u="none" strike="noStrike" baseline="0">
                <a:solidFill>
                  <a:srgbClr val="000000"/>
                </a:solidFill>
                <a:latin typeface="Calibri"/>
                <a:ea typeface="Calibri"/>
                <a:cs typeface="Calibri"/>
              </a:defRPr>
            </a:pPr>
            <a:endParaRPr lang="pl-PL"/>
          </a:p>
        </c:txPr>
        <c:crossAx val="1"/>
        <c:crosses val="autoZero"/>
        <c:auto val="1"/>
        <c:lblAlgn val="ctr"/>
        <c:lblOffset val="100"/>
        <c:noMultiLvlLbl val="0"/>
      </c:catAx>
      <c:valAx>
        <c:axId val="1"/>
        <c:scaling>
          <c:orientation val="minMax"/>
          <c:max val="36000"/>
          <c:min val="22000"/>
        </c:scaling>
        <c:delete val="0"/>
        <c:axPos val="l"/>
        <c:majorGridlines/>
        <c:numFmt formatCode="#,##0" sourceLinked="1"/>
        <c:majorTickMark val="none"/>
        <c:minorTickMark val="none"/>
        <c:tickLblPos val="nextTo"/>
        <c:spPr>
          <a:ln w="9525">
            <a:noFill/>
          </a:ln>
        </c:spPr>
        <c:txPr>
          <a:bodyPr rot="0" vert="horz"/>
          <a:lstStyle/>
          <a:p>
            <a:pPr>
              <a:defRPr sz="1000" b="0" i="0" u="none" strike="noStrike" baseline="0">
                <a:solidFill>
                  <a:srgbClr val="000000"/>
                </a:solidFill>
                <a:latin typeface="Calibri"/>
                <a:ea typeface="Calibri"/>
                <a:cs typeface="Calibri"/>
              </a:defRPr>
            </a:pPr>
            <a:endParaRPr lang="pl-PL"/>
          </a:p>
        </c:txPr>
        <c:crossAx val="490424608"/>
        <c:crosses val="autoZero"/>
        <c:crossBetween val="between"/>
      </c:valAx>
    </c:plotArea>
    <c:legend>
      <c:legendPos val="r"/>
      <c:layout>
        <c:manualLayout>
          <c:xMode val="edge"/>
          <c:yMode val="edge"/>
          <c:x val="4.0937165252796011E-2"/>
          <c:y val="0.89396779106315416"/>
          <c:w val="0.89476497256024812"/>
          <c:h val="8.7881468520138672E-2"/>
        </c:manualLayout>
      </c:layout>
      <c:overlay val="0"/>
      <c:txPr>
        <a:bodyPr/>
        <a:lstStyle/>
        <a:p>
          <a:pPr>
            <a:defRPr sz="800" b="0" i="0" u="none" strike="noStrike" baseline="0">
              <a:solidFill>
                <a:srgbClr val="000000"/>
              </a:solidFill>
              <a:latin typeface="Calibri"/>
              <a:ea typeface="Calibri"/>
              <a:cs typeface="Calibri"/>
            </a:defRPr>
          </a:pPr>
          <a:endParaRPr lang="pl-PL"/>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pl-PL"/>
    </a:p>
  </c:txPr>
  <c:externalData r:id="rId1">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C69001-B6F5-4C35-96C6-0E465C4EF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 Papier firmowy KIG - zewnetrzny-1.dot</Template>
  <TotalTime>46</TotalTime>
  <Pages>4</Pages>
  <Words>691</Words>
  <Characters>4146</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kig</vt:lpstr>
    </vt:vector>
  </TitlesOfParts>
  <Company>TEL-ENERGO S.A.</Company>
  <LinksUpToDate>false</LinksUpToDate>
  <CharactersWithSpaces>4828</CharactersWithSpaces>
  <SharedDoc>false</SharedDoc>
  <HLinks>
    <vt:vector size="6" baseType="variant">
      <vt:variant>
        <vt:i4>7864443</vt:i4>
      </vt:variant>
      <vt:variant>
        <vt:i4>5</vt:i4>
      </vt:variant>
      <vt:variant>
        <vt:i4>0</vt:i4>
      </vt:variant>
      <vt:variant>
        <vt:i4>5</vt:i4>
      </vt:variant>
      <vt:variant>
        <vt:lpwstr>http://www.kig.pl/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kig</dc:title>
  <dc:creator>user</dc:creator>
  <cp:lastModifiedBy>psoroczynski</cp:lastModifiedBy>
  <cp:revision>7</cp:revision>
  <cp:lastPrinted>2020-01-08T12:13:00Z</cp:lastPrinted>
  <dcterms:created xsi:type="dcterms:W3CDTF">2024-11-04T11:16:00Z</dcterms:created>
  <dcterms:modified xsi:type="dcterms:W3CDTF">2024-11-04T12:02:00Z</dcterms:modified>
</cp:coreProperties>
</file>