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3B7E" w14:textId="77777777" w:rsidR="00676D03" w:rsidRPr="00CB390A" w:rsidRDefault="00676D03" w:rsidP="00CB390A">
      <w:pPr>
        <w:spacing w:after="120" w:line="276" w:lineRule="auto"/>
        <w:jc w:val="center"/>
        <w:rPr>
          <w:rFonts w:ascii="Times New Roman" w:hAnsi="Times New Roman"/>
          <w:b/>
          <w:bCs/>
          <w:szCs w:val="22"/>
        </w:rPr>
      </w:pPr>
      <w:r w:rsidRPr="00CB390A">
        <w:rPr>
          <w:rFonts w:ascii="Times New Roman" w:hAnsi="Times New Roman"/>
          <w:b/>
          <w:bCs/>
          <w:szCs w:val="22"/>
        </w:rPr>
        <w:t>Opinia</w:t>
      </w:r>
    </w:p>
    <w:p w14:paraId="6715145B" w14:textId="77777777" w:rsidR="00676D03" w:rsidRPr="00CB390A" w:rsidRDefault="00676D03" w:rsidP="00CB390A">
      <w:pPr>
        <w:spacing w:after="120" w:line="276" w:lineRule="auto"/>
        <w:jc w:val="center"/>
        <w:rPr>
          <w:rFonts w:ascii="Times New Roman" w:hAnsi="Times New Roman"/>
          <w:b/>
          <w:bCs/>
          <w:szCs w:val="22"/>
        </w:rPr>
      </w:pPr>
      <w:r w:rsidRPr="00CB390A">
        <w:rPr>
          <w:rFonts w:ascii="Times New Roman" w:hAnsi="Times New Roman"/>
          <w:b/>
          <w:bCs/>
          <w:szCs w:val="22"/>
        </w:rPr>
        <w:t>Krajowej Izby Gospodarczej</w:t>
      </w:r>
    </w:p>
    <w:p w14:paraId="2EBAE11E" w14:textId="77777777" w:rsidR="00676D03" w:rsidRPr="00CB390A" w:rsidRDefault="00676D03" w:rsidP="00CB390A">
      <w:pPr>
        <w:spacing w:after="120" w:line="276" w:lineRule="auto"/>
        <w:jc w:val="center"/>
        <w:rPr>
          <w:rFonts w:ascii="Times New Roman" w:hAnsi="Times New Roman"/>
          <w:b/>
          <w:bCs/>
          <w:szCs w:val="22"/>
        </w:rPr>
      </w:pPr>
      <w:r w:rsidRPr="00CB390A">
        <w:rPr>
          <w:rFonts w:ascii="Times New Roman" w:hAnsi="Times New Roman"/>
          <w:b/>
          <w:bCs/>
          <w:szCs w:val="22"/>
        </w:rPr>
        <w:t>do projektu ustawy o systemach sztucznej inteligencji</w:t>
      </w:r>
    </w:p>
    <w:p w14:paraId="525B119E" w14:textId="77777777" w:rsidR="00676D03" w:rsidRPr="00CB390A" w:rsidRDefault="00676D03" w:rsidP="00CB390A">
      <w:pPr>
        <w:spacing w:after="120" w:line="276" w:lineRule="auto"/>
        <w:jc w:val="center"/>
        <w:rPr>
          <w:rFonts w:ascii="Times New Roman" w:hAnsi="Times New Roman"/>
          <w:b/>
          <w:bCs/>
          <w:szCs w:val="22"/>
        </w:rPr>
      </w:pPr>
      <w:r w:rsidRPr="00CB390A">
        <w:rPr>
          <w:rFonts w:ascii="Times New Roman" w:hAnsi="Times New Roman"/>
          <w:b/>
          <w:bCs/>
          <w:szCs w:val="22"/>
        </w:rPr>
        <w:t>(projekt z 15 października 2024 roku)</w:t>
      </w:r>
    </w:p>
    <w:p w14:paraId="0ABFAC73" w14:textId="77777777" w:rsidR="00676D03" w:rsidRPr="00CB390A" w:rsidRDefault="00676D03" w:rsidP="00CB390A">
      <w:pPr>
        <w:spacing w:after="120" w:line="276" w:lineRule="auto"/>
        <w:rPr>
          <w:rFonts w:ascii="Times New Roman" w:hAnsi="Times New Roman"/>
          <w:szCs w:val="22"/>
        </w:rPr>
      </w:pPr>
    </w:p>
    <w:p w14:paraId="2C521524" w14:textId="7C689E84"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Krajowa Izba Gospodarcza negatywnie ocenia projekt ustawy o systemach sztucznej inteligencji (Projekt). W naszej ocenie jest on nieadekwatny do sytuacji rynkowej i wymaganych </w:t>
      </w:r>
      <w:r w:rsidR="001B0B52">
        <w:rPr>
          <w:rFonts w:ascii="Times New Roman" w:hAnsi="Times New Roman"/>
          <w:szCs w:val="22"/>
        </w:rPr>
        <w:br/>
      </w:r>
      <w:r w:rsidRPr="00CB390A">
        <w:rPr>
          <w:rFonts w:ascii="Times New Roman" w:hAnsi="Times New Roman"/>
          <w:szCs w:val="22"/>
        </w:rPr>
        <w:t>w najbliższych latach działań.</w:t>
      </w:r>
    </w:p>
    <w:p w14:paraId="6401D3C7" w14:textId="02DA7490"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Przede wszystkim należy zauważyć, że Projekt jest reakcją krajowego prawodawcy na wejście </w:t>
      </w:r>
      <w:r w:rsidR="001B0B52">
        <w:rPr>
          <w:rFonts w:ascii="Times New Roman" w:hAnsi="Times New Roman"/>
          <w:szCs w:val="22"/>
        </w:rPr>
        <w:br/>
      </w:r>
      <w:r w:rsidRPr="00CB390A">
        <w:rPr>
          <w:rFonts w:ascii="Times New Roman" w:hAnsi="Times New Roman"/>
          <w:szCs w:val="22"/>
        </w:rPr>
        <w:t xml:space="preserve">w życie rozporządzenia Parlamentu Europejskiego i Rady (UE) 2024/1689 z 13 czerwca 2024 r. </w:t>
      </w:r>
      <w:r w:rsidR="001B0B52">
        <w:rPr>
          <w:rFonts w:ascii="Times New Roman" w:hAnsi="Times New Roman"/>
          <w:szCs w:val="22"/>
        </w:rPr>
        <w:br/>
      </w:r>
      <w:r w:rsidRPr="00CB390A">
        <w:rPr>
          <w:rFonts w:ascii="Times New Roman" w:hAnsi="Times New Roman"/>
          <w:szCs w:val="22"/>
        </w:rPr>
        <w:t xml:space="preserve">w sprawie ustanowienia zharmonizowanych przepisów dotyczących sztucznej inteligencji (…), w tym kontekście ustawa powinna umożliwić realizację obowiązków wynikających </w:t>
      </w:r>
      <w:r w:rsidR="001B0B52">
        <w:rPr>
          <w:rFonts w:ascii="Times New Roman" w:hAnsi="Times New Roman"/>
          <w:szCs w:val="22"/>
        </w:rPr>
        <w:br/>
      </w:r>
      <w:r w:rsidRPr="00CB390A">
        <w:rPr>
          <w:rFonts w:ascii="Times New Roman" w:hAnsi="Times New Roman"/>
          <w:szCs w:val="22"/>
        </w:rPr>
        <w:t xml:space="preserve">z Rozporządzenia UE. Jednocześnie należy wskazać, że systemy sztucznej inteligencji to nie tylko całkowicie nowa gałąź gospodarki, ale również dynamiczne, podatne na zmiany </w:t>
      </w:r>
      <w:r w:rsidR="001B0B52">
        <w:rPr>
          <w:rFonts w:ascii="Times New Roman" w:hAnsi="Times New Roman"/>
          <w:szCs w:val="22"/>
        </w:rPr>
        <w:br/>
      </w:r>
      <w:r w:rsidRPr="00CB390A">
        <w:rPr>
          <w:rFonts w:ascii="Times New Roman" w:hAnsi="Times New Roman"/>
          <w:szCs w:val="22"/>
        </w:rPr>
        <w:t>i nieuregulowane prawnie oraz instytucjonalnie środowisko. Projektowana ustawa ma co prawda charakter wykonawczy do Rozporządzenia UE, natomiast nie musi i nie powinna ograniczać się do takiego zakresu. Ustawodawca przy okazji prac nad tym Projektem powinien zaproponować model wsparcia B+R oraz komercjalizacji systemów AI, co pozwoliłoby na tworzenie ekosystemu administracji, przemysłu i użytkowników.</w:t>
      </w:r>
    </w:p>
    <w:p w14:paraId="352660FF"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W ocenie Krajowej Izby Gospodarczej głównym zarzutem do Projektu jest całkowite niedostosowanie struktur proponowanego organu nadzorczego. Projektodawca wzoruje się na rozwiązaniach dotyczących rynku finansowego – Komisji Nadzoru Finansowego.</w:t>
      </w:r>
    </w:p>
    <w:p w14:paraId="1C63D91A" w14:textId="11B67109"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Należy wskazać, że zaproponowany model nadzoru – przez analogię do KNF – jest całkowicie błędny i nieadekwatny do specyfiki rynku. Należy pamiętać, że KNF powstała w 2006 r. </w:t>
      </w:r>
      <w:r w:rsidR="001B0B52">
        <w:rPr>
          <w:rFonts w:ascii="Times New Roman" w:hAnsi="Times New Roman"/>
          <w:szCs w:val="22"/>
        </w:rPr>
        <w:br/>
      </w:r>
      <w:r w:rsidRPr="00CB390A">
        <w:rPr>
          <w:rFonts w:ascii="Times New Roman" w:hAnsi="Times New Roman"/>
          <w:szCs w:val="22"/>
        </w:rPr>
        <w:t>z połączenia 3 wyspecjalizowanych instytucji nadzorczych mających doświadczenie w kontroli poszczególnych obszarów rynku finansowego, a sam rynek finansowy działał już wtedy w warunkach precyzyjnego i mocno sformalizowanego otoczenia prawnego.</w:t>
      </w:r>
    </w:p>
    <w:p w14:paraId="3D8C7258" w14:textId="1F1B2D02"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Reasumując, Projektodawca powinien położyć nacisk na funkcje regulacyjną Komisji – jako inicjatora tworzenia dobrego, stymulującego branżę AI prawa i animatora dialogu między interesariuszami. W Projekcie przeważa mocno urzędnicze podejście, skoncentrowane na regulacji i nadzorze. W połączeniu z brakiem dojrzałego rynku w tym obszarze, siłą rzeczy Komisja w za proponowanym modelu, z dużą, często arbitralną władzą regulacyjną będzie postrzegana głównie jako przeszkoda w rozwoju rynku, a nie partner dla wspólnych inicjatyw </w:t>
      </w:r>
      <w:r w:rsidR="001B0B52">
        <w:rPr>
          <w:rFonts w:ascii="Times New Roman" w:hAnsi="Times New Roman"/>
          <w:szCs w:val="22"/>
        </w:rPr>
        <w:br/>
      </w:r>
      <w:r w:rsidRPr="00CB390A">
        <w:rPr>
          <w:rFonts w:ascii="Times New Roman" w:hAnsi="Times New Roman"/>
          <w:szCs w:val="22"/>
        </w:rPr>
        <w:t>i arbiter między interesariuszami o sprzecznych celach i interesach.</w:t>
      </w:r>
    </w:p>
    <w:p w14:paraId="500B60C6" w14:textId="6450622A"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lastRenderedPageBreak/>
        <w:t>Rozporządzenie UE daje długi okres przejściowy, co umożliwia dostosowanie krajowych struktur administracyjnych i przygotowanie odpowiednich instytucji nadzoru. Ponadto centralne organy UE, takie jak planowane Biuro ds. AI, będą koordynować wdrażanie, co zmniejsza potrzebę krajowych działań legislacyjnych na wczesnym etapie. Należy,</w:t>
      </w:r>
      <w:r w:rsidR="00CB390A">
        <w:rPr>
          <w:rFonts w:ascii="Times New Roman" w:hAnsi="Times New Roman"/>
          <w:szCs w:val="22"/>
        </w:rPr>
        <w:t xml:space="preserve"> </w:t>
      </w:r>
      <w:r w:rsidRPr="00CB390A">
        <w:rPr>
          <w:rFonts w:ascii="Times New Roman" w:hAnsi="Times New Roman"/>
          <w:szCs w:val="22"/>
        </w:rPr>
        <w:t>w szczególności na początkowym etapie zmienić priorytety działalności Komisji. Powinna ona być integratorem rynku, animatorem dyskusji i kuźnią kadr, a dopiero</w:t>
      </w:r>
      <w:r w:rsidR="00CB390A">
        <w:rPr>
          <w:rFonts w:ascii="Times New Roman" w:hAnsi="Times New Roman"/>
          <w:szCs w:val="22"/>
        </w:rPr>
        <w:t xml:space="preserve"> </w:t>
      </w:r>
      <w:r w:rsidRPr="00CB390A">
        <w:rPr>
          <w:rFonts w:ascii="Times New Roman" w:hAnsi="Times New Roman"/>
          <w:szCs w:val="22"/>
        </w:rPr>
        <w:t>w dalszej kolejności regulatorem i nadzorcą rynku. W ocenie KIG wpisanie do zadań Komisji działań mających na celu utworzenie piaskownic regulacyjnych (art. 11 ust. 1 pkt 11 Projektu) jest niewystarczające.</w:t>
      </w:r>
    </w:p>
    <w:p w14:paraId="3899DE0A" w14:textId="3ED36842" w:rsidR="00CB390A" w:rsidRPr="00CB390A" w:rsidRDefault="00CB390A" w:rsidP="00CB390A">
      <w:pPr>
        <w:spacing w:after="120" w:line="276" w:lineRule="auto"/>
        <w:jc w:val="both"/>
        <w:rPr>
          <w:rFonts w:ascii="Times New Roman" w:hAnsi="Times New Roman"/>
          <w:szCs w:val="22"/>
        </w:rPr>
      </w:pPr>
      <w:r w:rsidRPr="00CB390A">
        <w:rPr>
          <w:rFonts w:ascii="Times New Roman" w:hAnsi="Times New Roman"/>
          <w:szCs w:val="22"/>
        </w:rPr>
        <w:t xml:space="preserve">Warto podkreślić, że </w:t>
      </w:r>
      <w:r w:rsidRPr="00CB390A">
        <w:rPr>
          <w:rFonts w:ascii="Times New Roman" w:hAnsi="Times New Roman"/>
        </w:rPr>
        <w:t>Polska nie musi się spieszyć z wdrażaniem unijnego rozporządzenia dotyczącego AI z tego powodu, że przepisy te będą bezpośrednio obowiązywać we wszystkich krajach członkowskich, co zmniejsza konieczność natychmiastowego wprowadzania dodatkowych regulacji krajowych. Rozporządzenie to obejmuje długi okres przejściowy, co daje Polsce czas na dostosowanie struktur administracyjnych i przygotowanie odpowiednich instytucji nadzoru. Ponadto centralne organy UE, takie jak planowane Biuro ds. AI, będą koordynować wdrażanie, co zmniejsza potrzebę krajowych działań legislacyjnych na wczesnym etapie.</w:t>
      </w:r>
    </w:p>
    <w:p w14:paraId="5F8C7EB8"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W przypadku sposobu wyboru komisji kwalifikacyjnej oraz władz Komisji wskazujemy, że jest on nieadekwatny do sytuacji rynkowej i nieprzejrzysty. Jest to konsekwencją kopiowania modelu działania z rynku finansowego.</w:t>
      </w:r>
    </w:p>
    <w:p w14:paraId="2BE63D2D" w14:textId="77777777" w:rsidR="00676D03" w:rsidRPr="00CB390A" w:rsidRDefault="00676D03" w:rsidP="00CB390A">
      <w:pPr>
        <w:spacing w:before="360" w:after="120" w:line="276" w:lineRule="auto"/>
        <w:jc w:val="both"/>
        <w:rPr>
          <w:rFonts w:ascii="Times New Roman" w:hAnsi="Times New Roman"/>
          <w:szCs w:val="22"/>
        </w:rPr>
      </w:pPr>
      <w:r w:rsidRPr="00CB390A">
        <w:rPr>
          <w:rFonts w:ascii="Times New Roman" w:hAnsi="Times New Roman"/>
          <w:szCs w:val="22"/>
        </w:rPr>
        <w:t>Poniżej przedstawiamy szczegółowe uwagi do Projektu</w:t>
      </w:r>
    </w:p>
    <w:p w14:paraId="6FD6BE98" w14:textId="77777777" w:rsidR="00CB390A" w:rsidRPr="00CB390A" w:rsidRDefault="00CB390A" w:rsidP="00CB390A">
      <w:pPr>
        <w:spacing w:after="120" w:line="276" w:lineRule="auto"/>
        <w:jc w:val="both"/>
        <w:rPr>
          <w:rFonts w:ascii="Times New Roman" w:hAnsi="Times New Roman"/>
          <w:b/>
          <w:bCs/>
          <w:szCs w:val="22"/>
        </w:rPr>
      </w:pPr>
    </w:p>
    <w:p w14:paraId="6C0A128C" w14:textId="77777777" w:rsidR="00CB390A" w:rsidRPr="00CB390A" w:rsidRDefault="00CB390A" w:rsidP="00CB390A">
      <w:pPr>
        <w:spacing w:line="276" w:lineRule="auto"/>
        <w:jc w:val="both"/>
        <w:rPr>
          <w:rFonts w:ascii="Times New Roman" w:hAnsi="Times New Roman"/>
          <w:b/>
          <w:bCs/>
        </w:rPr>
      </w:pPr>
      <w:r w:rsidRPr="00CB390A">
        <w:rPr>
          <w:rFonts w:ascii="Times New Roman" w:hAnsi="Times New Roman"/>
          <w:b/>
          <w:bCs/>
        </w:rPr>
        <w:t>Art. 7. Ust. 7, Art. 29 ust. 6</w:t>
      </w:r>
    </w:p>
    <w:p w14:paraId="06B3BEF7" w14:textId="709A5BD2" w:rsidR="00CB390A" w:rsidRPr="00CB390A" w:rsidRDefault="00CB390A" w:rsidP="00CB390A">
      <w:pPr>
        <w:spacing w:line="276" w:lineRule="auto"/>
        <w:jc w:val="both"/>
        <w:rPr>
          <w:rFonts w:ascii="Times New Roman" w:hAnsi="Times New Roman"/>
          <w:b/>
          <w:bCs/>
        </w:rPr>
      </w:pPr>
      <w:r w:rsidRPr="00CB390A">
        <w:rPr>
          <w:rFonts w:ascii="Times New Roman" w:hAnsi="Times New Roman"/>
        </w:rPr>
        <w:t>Poddajemy krytyce “społeczny wymiar” zaangażowania Członków Komisji i Członków Społecznej Rady ds. Bezpieczeństwa. Trudno oczekiwać, by ktoś poświęcał swój czas, zaangażowanie i intelekt bez wynagrodzenia. Uważamy, że jest to złudne poczucie gospodarności. Akty prawne dużego Państwa europejskiego powinny odpowiednio doceniać</w:t>
      </w:r>
      <w:r w:rsidR="001B0B52">
        <w:rPr>
          <w:rFonts w:ascii="Times New Roman" w:hAnsi="Times New Roman"/>
        </w:rPr>
        <w:br/>
      </w:r>
      <w:r w:rsidRPr="00CB390A">
        <w:rPr>
          <w:rFonts w:ascii="Times New Roman" w:hAnsi="Times New Roman"/>
        </w:rPr>
        <w:t xml:space="preserve"> i wynagradzać.</w:t>
      </w:r>
    </w:p>
    <w:p w14:paraId="3AC5A324" w14:textId="78304BBE"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11 ust. 1 Projektu (zadania Komisji)</w:t>
      </w:r>
    </w:p>
    <w:p w14:paraId="4B1073F8"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zmianę brzmienia pkt 11 tak, aby nie był mechanicznym tłumaczeniem tekstu rozporządzenia. Proponowany zapis:</w:t>
      </w:r>
    </w:p>
    <w:p w14:paraId="513DCD68" w14:textId="6CC18D09"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i/>
          <w:iCs/>
          <w:szCs w:val="22"/>
        </w:rPr>
        <w:t>„11) podejmowanie działań mających na celu stworzenie narzędzi prawnych</w:t>
      </w:r>
      <w:r w:rsidRPr="00CB390A">
        <w:rPr>
          <w:rFonts w:ascii="Times New Roman" w:hAnsi="Times New Roman"/>
          <w:i/>
          <w:iCs/>
          <w:szCs w:val="22"/>
        </w:rPr>
        <w:br/>
        <w:t xml:space="preserve">do testowania nowych rozwiązań dotyczących systemów sztucznej inteligencji zgodnie </w:t>
      </w:r>
      <w:r w:rsidR="001B0B52">
        <w:rPr>
          <w:rFonts w:ascii="Times New Roman" w:hAnsi="Times New Roman"/>
          <w:i/>
          <w:iCs/>
          <w:szCs w:val="22"/>
        </w:rPr>
        <w:br/>
      </w:r>
      <w:r w:rsidRPr="00CB390A">
        <w:rPr>
          <w:rFonts w:ascii="Times New Roman" w:hAnsi="Times New Roman"/>
          <w:i/>
          <w:iCs/>
          <w:szCs w:val="22"/>
        </w:rPr>
        <w:t>z przepisami rozporządzenia 2024/1689 – piaskownic regulacyjnych;”.</w:t>
      </w:r>
    </w:p>
    <w:p w14:paraId="4AFDE03A"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również rozszerzenie katalogu zadań Komisji i po pkt 11 dodanie następujących:</w:t>
      </w:r>
    </w:p>
    <w:p w14:paraId="088FFBEC" w14:textId="584C74F3" w:rsidR="00676D03" w:rsidRPr="00CB390A" w:rsidRDefault="00676D03" w:rsidP="00CB390A">
      <w:pPr>
        <w:spacing w:after="120" w:line="276" w:lineRule="auto"/>
        <w:jc w:val="both"/>
        <w:rPr>
          <w:rFonts w:ascii="Times New Roman" w:hAnsi="Times New Roman"/>
          <w:i/>
          <w:iCs/>
          <w:szCs w:val="22"/>
        </w:rPr>
      </w:pPr>
      <w:r w:rsidRPr="00CB390A">
        <w:rPr>
          <w:rFonts w:ascii="Times New Roman" w:hAnsi="Times New Roman"/>
          <w:i/>
          <w:iCs/>
          <w:szCs w:val="22"/>
        </w:rPr>
        <w:t>- podejmowanie działań wspierających badania, rozwój i komercjalizację produktów</w:t>
      </w:r>
      <w:r w:rsidRPr="00CB390A">
        <w:rPr>
          <w:rFonts w:ascii="Times New Roman" w:hAnsi="Times New Roman"/>
          <w:i/>
          <w:iCs/>
          <w:szCs w:val="22"/>
        </w:rPr>
        <w:br/>
        <w:t xml:space="preserve"> i usług wykorzystujących sztuczną inteligencję, w szczególności przez integrację środowiska gospodarczego i naukowego, tworzenie założeń do programów wsparcia</w:t>
      </w:r>
      <w:r w:rsidRPr="00CB390A">
        <w:rPr>
          <w:rFonts w:ascii="Times New Roman" w:hAnsi="Times New Roman"/>
          <w:i/>
          <w:iCs/>
          <w:szCs w:val="22"/>
        </w:rPr>
        <w:br/>
      </w:r>
      <w:r w:rsidRPr="00CB390A">
        <w:rPr>
          <w:rFonts w:ascii="Times New Roman" w:hAnsi="Times New Roman"/>
          <w:i/>
          <w:iCs/>
          <w:szCs w:val="22"/>
        </w:rPr>
        <w:lastRenderedPageBreak/>
        <w:t xml:space="preserve">i tworzenie propozycji rozwiązań prawnych ułatwiających współpracę nauki z biznesem </w:t>
      </w:r>
      <w:r w:rsidR="001B0B52">
        <w:rPr>
          <w:rFonts w:ascii="Times New Roman" w:hAnsi="Times New Roman"/>
          <w:i/>
          <w:iCs/>
          <w:szCs w:val="22"/>
        </w:rPr>
        <w:br/>
      </w:r>
      <w:r w:rsidRPr="00CB390A">
        <w:rPr>
          <w:rFonts w:ascii="Times New Roman" w:hAnsi="Times New Roman"/>
          <w:i/>
          <w:iCs/>
          <w:szCs w:val="22"/>
        </w:rPr>
        <w:t>i komercjalizację osiągnięć wykorzystujących sztuczna inteligencję,</w:t>
      </w:r>
    </w:p>
    <w:p w14:paraId="16C040F6" w14:textId="082F70A9"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i/>
          <w:iCs/>
          <w:szCs w:val="22"/>
        </w:rPr>
        <w:t xml:space="preserve">- inicjowanie działań zmierzających do łączenia instytucji publicznych, badaczy akademickich </w:t>
      </w:r>
      <w:r w:rsidR="001B0B52">
        <w:rPr>
          <w:rFonts w:ascii="Times New Roman" w:hAnsi="Times New Roman"/>
          <w:i/>
          <w:iCs/>
          <w:szCs w:val="22"/>
        </w:rPr>
        <w:br/>
      </w:r>
      <w:r w:rsidRPr="00CB390A">
        <w:rPr>
          <w:rFonts w:ascii="Times New Roman" w:hAnsi="Times New Roman"/>
          <w:i/>
          <w:iCs/>
          <w:szCs w:val="22"/>
        </w:rPr>
        <w:t>i firm działających na rzecz rozwoju sztucznej inteligencji.</w:t>
      </w:r>
    </w:p>
    <w:p w14:paraId="6888E7FE" w14:textId="1F01C9D4"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Jak wspomniano powyżej, Komisja powinna koncentrować się w pierwszym okresie działalności nad wzmacnianiem ekosystemu administracji, przedsiębiorców i ośrodków naukowych w celu integracji środowiska i prowadzenia aktywnego </w:t>
      </w:r>
      <w:proofErr w:type="spellStart"/>
      <w:r w:rsidRPr="00CB390A">
        <w:rPr>
          <w:rFonts w:ascii="Times New Roman" w:hAnsi="Times New Roman"/>
          <w:szCs w:val="22"/>
        </w:rPr>
        <w:t>dialoguz</w:t>
      </w:r>
      <w:proofErr w:type="spellEnd"/>
      <w:r w:rsidRPr="00CB390A">
        <w:rPr>
          <w:rFonts w:ascii="Times New Roman" w:hAnsi="Times New Roman"/>
          <w:szCs w:val="22"/>
        </w:rPr>
        <w:t xml:space="preserve"> interesariuszami. Nie może koncentrować się na nadzorze, nie będzie również w stanie realizować zadania wskazanego </w:t>
      </w:r>
      <w:r w:rsidR="001B0B52">
        <w:rPr>
          <w:rFonts w:ascii="Times New Roman" w:hAnsi="Times New Roman"/>
          <w:szCs w:val="22"/>
        </w:rPr>
        <w:br/>
      </w:r>
      <w:r w:rsidRPr="00CB390A">
        <w:rPr>
          <w:rFonts w:ascii="Times New Roman" w:hAnsi="Times New Roman"/>
          <w:szCs w:val="22"/>
        </w:rPr>
        <w:t>w pkt. 5 ze względu na ograniczoną znajomość specyfiki rynku.</w:t>
      </w:r>
    </w:p>
    <w:p w14:paraId="465627AA" w14:textId="4E56C71A" w:rsidR="00CB390A" w:rsidRPr="00CB390A" w:rsidRDefault="00CB390A" w:rsidP="00CB390A">
      <w:pPr>
        <w:spacing w:after="120" w:line="276" w:lineRule="auto"/>
        <w:jc w:val="both"/>
        <w:rPr>
          <w:rFonts w:ascii="Times New Roman" w:hAnsi="Times New Roman"/>
          <w:b/>
          <w:bCs/>
          <w:szCs w:val="22"/>
        </w:rPr>
      </w:pPr>
      <w:r w:rsidRPr="00CB390A">
        <w:rPr>
          <w:rFonts w:ascii="Times New Roman" w:hAnsi="Times New Roman"/>
          <w:b/>
          <w:bCs/>
          <w:szCs w:val="22"/>
        </w:rPr>
        <w:t>Art. 18 ust. 2 pkt 4. Rozszerzenie potencjalnych kandydatów</w:t>
      </w:r>
    </w:p>
    <w:p w14:paraId="60AC5ED4" w14:textId="0CCA6658" w:rsidR="00CB390A" w:rsidRPr="00CB390A" w:rsidRDefault="00CB390A" w:rsidP="00CB390A">
      <w:pPr>
        <w:spacing w:after="120" w:line="276" w:lineRule="auto"/>
        <w:jc w:val="both"/>
        <w:rPr>
          <w:rFonts w:ascii="Times New Roman" w:hAnsi="Times New Roman"/>
          <w:b/>
          <w:bCs/>
          <w:szCs w:val="22"/>
        </w:rPr>
      </w:pPr>
      <w:r w:rsidRPr="00CB390A">
        <w:rPr>
          <w:rFonts w:ascii="Times New Roman" w:hAnsi="Times New Roman"/>
        </w:rPr>
        <w:t>Przy tak szerokich zastosowaniach AI, kryteria kompetencyjne Przewodniczącego powinny dopuszczać szerszą grupę kandydatów, włącznie z humanistami.</w:t>
      </w:r>
    </w:p>
    <w:p w14:paraId="5FC5592F" w14:textId="77777777" w:rsidR="00CB390A" w:rsidRPr="00CB390A" w:rsidRDefault="00CB390A" w:rsidP="00CB390A">
      <w:pPr>
        <w:spacing w:after="120" w:line="276" w:lineRule="auto"/>
        <w:jc w:val="both"/>
        <w:rPr>
          <w:rFonts w:ascii="Times New Roman" w:hAnsi="Times New Roman"/>
          <w:b/>
          <w:bCs/>
          <w:szCs w:val="22"/>
        </w:rPr>
      </w:pPr>
    </w:p>
    <w:p w14:paraId="6738F82D" w14:textId="29DEBAAE"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26 ust. 3 pkt 4. Prosimy o doprecyzowanie</w:t>
      </w:r>
    </w:p>
    <w:p w14:paraId="0F95CEB0" w14:textId="22A899F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Pojęcie podmiotów kluczowych i ważnych zostało wprowadzone przez dyrektywę NIS2. </w:t>
      </w:r>
      <w:r w:rsidR="001B0B52">
        <w:rPr>
          <w:rFonts w:ascii="Times New Roman" w:hAnsi="Times New Roman"/>
          <w:szCs w:val="22"/>
        </w:rPr>
        <w:br/>
      </w:r>
      <w:r w:rsidRPr="00CB390A">
        <w:rPr>
          <w:rFonts w:ascii="Times New Roman" w:hAnsi="Times New Roman"/>
          <w:szCs w:val="22"/>
        </w:rPr>
        <w:t xml:space="preserve">W ustawie o krajowym systemie </w:t>
      </w:r>
      <w:proofErr w:type="spellStart"/>
      <w:r w:rsidRPr="00CB390A">
        <w:rPr>
          <w:rFonts w:ascii="Times New Roman" w:hAnsi="Times New Roman"/>
          <w:szCs w:val="22"/>
        </w:rPr>
        <w:t>cyberbezpieczeństwa</w:t>
      </w:r>
      <w:proofErr w:type="spellEnd"/>
      <w:r w:rsidRPr="00CB390A">
        <w:rPr>
          <w:rFonts w:ascii="Times New Roman" w:hAnsi="Times New Roman"/>
          <w:szCs w:val="22"/>
        </w:rPr>
        <w:t>, do której referuje Projekt, brak wskazania tych podmiotów.</w:t>
      </w:r>
    </w:p>
    <w:p w14:paraId="0126DE7A" w14:textId="77777777"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20 ust. 4 wymogi dla członków komisji kwalifikacyjnej</w:t>
      </w:r>
    </w:p>
    <w:p w14:paraId="4B31AC10"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Komisja kwalifikacyjna ma istotną rolę – wyboru najlepszych kandydatów, z których prezes Rady Ministrów wybierze Przewodniczącego Komisji. Ustawa powinna gwarantować, że członkowie komisji kwalifikacyjnej będą w stanie merytorycznie ocenić doświadczenie zawodowe kandydata i wiedzę niezbędną do wykonywania zadań na stanowisku. To wymaga od członków komisji merytorycznej wiedzy na temat działania systemów sztucznej inteligencji, zatem powinno być skonkretyzowane w Projekcie. Za nieadekwatne uznajemy powoływanie komisji rekrutacyjnej, która dodatkowo może posiłkować się opinią osób trzecich (ust. 5). To komisja ponosi odpowiedzialność za ocenę kandydatów, zatem powinna być w stanie przeprowadzić ten proces samodzielnie, w tym krytycznie zweryfikować przygotowaną przez osobę trzecią ocenę kompetencji kandydata.</w:t>
      </w:r>
    </w:p>
    <w:p w14:paraId="4BA2AF10" w14:textId="7573058F"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Ponadto wskazujemy, że jest to obszar nieuregulowany, a nieadekwatny dobór członków komisji weryfikacyjnej może istotnie zniekształcić proces rekrutacyjny. Krajowej Izba Gospodarcza </w:t>
      </w:r>
      <w:r w:rsidR="00CB390A" w:rsidRPr="00CB390A">
        <w:rPr>
          <w:rFonts w:ascii="Times New Roman" w:hAnsi="Times New Roman"/>
          <w:szCs w:val="22"/>
        </w:rPr>
        <w:t>sugeruje,</w:t>
      </w:r>
      <w:r w:rsidRPr="00CB390A">
        <w:rPr>
          <w:rFonts w:ascii="Times New Roman" w:hAnsi="Times New Roman"/>
          <w:szCs w:val="22"/>
        </w:rPr>
        <w:t xml:space="preserve"> aby wskazać, że w komisji rekrutacyjnej zapewnić udział co najmniej jednego przedstawiciela środowiska naukowego, jednego gospodarczego i jednego obywatelskiego.</w:t>
      </w:r>
    </w:p>
    <w:p w14:paraId="3B22E888" w14:textId="77777777"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20 ust. 7 wybór kandydatów</w:t>
      </w:r>
    </w:p>
    <w:p w14:paraId="453F7C94"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Komisja kwalifikacyjna powinna wyłonić nie więcej niż 3 kandydatów, natomiast nie powinien to być jeden, bo nie daje Prezesowi Rady Ministrów wyboru. Co więcej Projekt nie rozstrzyga, czy jeżeli zostanie wyłoniony jeden kandydat, to zgodne z art. 18 Prezes Rady Ministrów ma </w:t>
      </w:r>
      <w:r w:rsidRPr="00CB390A">
        <w:rPr>
          <w:rFonts w:ascii="Times New Roman" w:hAnsi="Times New Roman"/>
          <w:szCs w:val="22"/>
        </w:rPr>
        <w:lastRenderedPageBreak/>
        <w:t>obowiązek go powołać, czy może od tego odstąpić. W tym zakresie Projekt jest również nielogiczny, ponieważ nie zapewnia PRM realnej możliwości wyboru spośród kandydatów (zgodnie z art. 18), jeżeli komisja kwalifikacyjna przedstawi tylko jednego kandydata.</w:t>
      </w:r>
    </w:p>
    <w:p w14:paraId="2F9B0512"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Co więcej, komisja powinna szeroko uzasadnić swoją decyzję, przedstawiając kompleksową ocenę opisową danej kandydatury.</w:t>
      </w:r>
    </w:p>
    <w:p w14:paraId="691E4C11"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zapis w brzmieniu:</w:t>
      </w:r>
    </w:p>
    <w:p w14:paraId="4A5921C9" w14:textId="77777777" w:rsidR="00676D03" w:rsidRPr="00CB390A" w:rsidRDefault="00676D03" w:rsidP="00CB390A">
      <w:pPr>
        <w:spacing w:after="120" w:line="276" w:lineRule="auto"/>
        <w:jc w:val="both"/>
        <w:rPr>
          <w:rFonts w:ascii="Times New Roman" w:hAnsi="Times New Roman"/>
          <w:i/>
          <w:iCs/>
          <w:szCs w:val="22"/>
        </w:rPr>
      </w:pPr>
      <w:r w:rsidRPr="00CB390A">
        <w:rPr>
          <w:rFonts w:ascii="Times New Roman" w:hAnsi="Times New Roman"/>
          <w:i/>
          <w:iCs/>
          <w:szCs w:val="22"/>
        </w:rPr>
        <w:t>„7. W toku naboru komisja kwalifikacyjna wyłania 2 albo 3 kandydatów, których przedstawia Prezesowi Rady Ministrów za pośrednictwem Szefa Kancelarii Prezesa Rady Ministrów. Komisja kwalifikacyjna uzasadnia wybór poszczególnych kandydatów wskazując z uzasadnieniem ocenę kompetencji kandydata wskazanych w ust. 4.</w:t>
      </w:r>
    </w:p>
    <w:p w14:paraId="5871EE4A" w14:textId="77777777"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23 zakaz zajmowania innych stanowisk niż naukowe</w:t>
      </w:r>
    </w:p>
    <w:p w14:paraId="472071EC" w14:textId="39276B4D"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Zapis powtarza model przyjęty w ustawie o nadzorze nad rynkiem finansowym, </w:t>
      </w:r>
      <w:r w:rsidRPr="00CB390A">
        <w:rPr>
          <w:rFonts w:ascii="Times New Roman" w:hAnsi="Times New Roman"/>
          <w:szCs w:val="22"/>
        </w:rPr>
        <w:br/>
        <w:t xml:space="preserve">co w opisywanym przypadku nie znajduje uzasadnienia. Sugerujemy albo całkowity zakaz łączenia funkcji zawodowych ze stanowiskiem w Komisji albo model odwrotny – brak zakazu, </w:t>
      </w:r>
      <w:r w:rsidR="001B0B52">
        <w:rPr>
          <w:rFonts w:ascii="Times New Roman" w:hAnsi="Times New Roman"/>
          <w:szCs w:val="22"/>
        </w:rPr>
        <w:br/>
      </w:r>
      <w:r w:rsidRPr="00CB390A">
        <w:rPr>
          <w:rFonts w:ascii="Times New Roman" w:hAnsi="Times New Roman"/>
          <w:szCs w:val="22"/>
        </w:rPr>
        <w:t>z obowiązkiem urlopu bezpłatnego na czas kadencji.</w:t>
      </w:r>
    </w:p>
    <w:p w14:paraId="090D74DD" w14:textId="669577EF" w:rsidR="00CB390A" w:rsidRPr="00CB390A" w:rsidRDefault="00CB390A" w:rsidP="00CB390A">
      <w:pPr>
        <w:spacing w:after="120" w:line="276" w:lineRule="auto"/>
        <w:jc w:val="both"/>
        <w:rPr>
          <w:rFonts w:ascii="Times New Roman" w:hAnsi="Times New Roman"/>
          <w:b/>
          <w:bCs/>
          <w:szCs w:val="22"/>
        </w:rPr>
      </w:pPr>
      <w:r w:rsidRPr="00CB390A">
        <w:rPr>
          <w:rFonts w:ascii="Times New Roman" w:hAnsi="Times New Roman"/>
          <w:b/>
          <w:bCs/>
          <w:szCs w:val="22"/>
        </w:rPr>
        <w:t>Art. 28, ust.4 pkt 1 zakaz zajmowania innych stanowisk niż naukowe</w:t>
      </w:r>
    </w:p>
    <w:p w14:paraId="1B28D8AF" w14:textId="23CE8A0C" w:rsidR="00CB390A" w:rsidRPr="00CB390A" w:rsidRDefault="00CB390A" w:rsidP="00CB390A">
      <w:pPr>
        <w:spacing w:after="120" w:line="276" w:lineRule="auto"/>
        <w:jc w:val="both"/>
        <w:rPr>
          <w:rFonts w:ascii="Times New Roman" w:hAnsi="Times New Roman"/>
        </w:rPr>
      </w:pPr>
      <w:r w:rsidRPr="00CB390A">
        <w:rPr>
          <w:rFonts w:ascii="Times New Roman" w:hAnsi="Times New Roman"/>
        </w:rPr>
        <w:t>Przy tak szerokich zastosowaniach AI, kryteria kompetencyjne Członka Rady powinny dopuszczać szerszą grupę kandydatów, włącznie z humanistami</w:t>
      </w:r>
    </w:p>
    <w:p w14:paraId="6D80904C" w14:textId="77670D27" w:rsidR="00CB390A" w:rsidRPr="00CB390A" w:rsidRDefault="00CB390A" w:rsidP="00CB390A">
      <w:pPr>
        <w:spacing w:after="120" w:line="276" w:lineRule="auto"/>
        <w:jc w:val="both"/>
        <w:rPr>
          <w:rFonts w:ascii="Times New Roman" w:hAnsi="Times New Roman"/>
          <w:b/>
          <w:bCs/>
          <w:szCs w:val="22"/>
        </w:rPr>
      </w:pPr>
      <w:r w:rsidRPr="00CB390A">
        <w:rPr>
          <w:rFonts w:ascii="Times New Roman" w:hAnsi="Times New Roman"/>
          <w:b/>
          <w:bCs/>
          <w:szCs w:val="22"/>
        </w:rPr>
        <w:t>Art. 32, ust.2</w:t>
      </w:r>
    </w:p>
    <w:p w14:paraId="61E02F77" w14:textId="77777777" w:rsidR="00CB390A" w:rsidRPr="00CB390A" w:rsidRDefault="00CB390A" w:rsidP="00CB390A">
      <w:pPr>
        <w:spacing w:line="276" w:lineRule="auto"/>
        <w:rPr>
          <w:rFonts w:ascii="Times New Roman" w:hAnsi="Times New Roman"/>
        </w:rPr>
      </w:pPr>
      <w:r w:rsidRPr="00CB390A">
        <w:rPr>
          <w:rFonts w:ascii="Times New Roman" w:hAnsi="Times New Roman"/>
        </w:rPr>
        <w:t>Sugerujemy, by Przewodniczący Komisji mógł nie tylko nadawać regulamin, ale też go zmieniać.</w:t>
      </w:r>
    </w:p>
    <w:p w14:paraId="7089DB65" w14:textId="77777777" w:rsidR="00CB390A" w:rsidRPr="00CB390A" w:rsidRDefault="00CB390A" w:rsidP="00CB390A">
      <w:pPr>
        <w:spacing w:line="276" w:lineRule="auto"/>
        <w:rPr>
          <w:rFonts w:ascii="Times New Roman" w:hAnsi="Times New Roman"/>
        </w:rPr>
      </w:pPr>
    </w:p>
    <w:p w14:paraId="4107C367" w14:textId="24A1E019" w:rsidR="00CB390A" w:rsidRPr="00CB390A" w:rsidRDefault="00CB390A" w:rsidP="00CB390A">
      <w:pPr>
        <w:spacing w:after="120" w:line="276" w:lineRule="auto"/>
        <w:jc w:val="both"/>
        <w:rPr>
          <w:rFonts w:ascii="Times New Roman" w:hAnsi="Times New Roman"/>
          <w:szCs w:val="22"/>
        </w:rPr>
      </w:pPr>
      <w:r w:rsidRPr="00CB390A">
        <w:rPr>
          <w:rFonts w:ascii="Times New Roman" w:hAnsi="Times New Roman"/>
        </w:rPr>
        <w:t>Sugerujemy, by dopisać, iż regulamin może zawierać sformułowania doprecyzowujące zapisy Ustawy, wszelkie inne zapisy organizacyjne, które nie stoją w sprzeczności z aktami nadrzędnymi oraz takie, których akty nadrzędne nie zabraniają</w:t>
      </w:r>
    </w:p>
    <w:p w14:paraId="232E3BA7" w14:textId="7FDFC89F"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41 i nast. (kontrola)</w:t>
      </w:r>
    </w:p>
    <w:p w14:paraId="3FB3446B"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dodanie po art. 48 dodatkowego artykułu w brzmieniu:</w:t>
      </w:r>
    </w:p>
    <w:p w14:paraId="5B54930A" w14:textId="384C4942" w:rsidR="00676D03" w:rsidRPr="00CB390A" w:rsidRDefault="00676D03" w:rsidP="00CB390A">
      <w:pPr>
        <w:pStyle w:val="Akapitzlist"/>
        <w:numPr>
          <w:ilvl w:val="0"/>
          <w:numId w:val="1"/>
        </w:numPr>
        <w:spacing w:after="120" w:line="276" w:lineRule="auto"/>
        <w:ind w:left="567" w:hanging="567"/>
        <w:rPr>
          <w:rFonts w:ascii="Times New Roman" w:hAnsi="Times New Roman" w:cs="Times New Roman"/>
          <w:i/>
          <w:iCs/>
          <w:sz w:val="22"/>
          <w:szCs w:val="22"/>
          <w:lang w:val="pl-PL"/>
        </w:rPr>
      </w:pPr>
      <w:r w:rsidRPr="00CB390A">
        <w:rPr>
          <w:rFonts w:ascii="Times New Roman" w:hAnsi="Times New Roman" w:cs="Times New Roman"/>
          <w:i/>
          <w:iCs/>
          <w:sz w:val="22"/>
          <w:szCs w:val="22"/>
          <w:lang w:val="pl-PL"/>
        </w:rPr>
        <w:t xml:space="preserve">Kontrolę prowadzi się w sposób możliwie najmniej uciążliwy dla kontrolowanego, </w:t>
      </w:r>
      <w:r w:rsidR="001B0B52">
        <w:rPr>
          <w:rFonts w:ascii="Times New Roman" w:hAnsi="Times New Roman" w:cs="Times New Roman"/>
          <w:i/>
          <w:iCs/>
          <w:sz w:val="22"/>
          <w:szCs w:val="22"/>
          <w:lang w:val="pl-PL"/>
        </w:rPr>
        <w:br/>
      </w:r>
      <w:r w:rsidRPr="00CB390A">
        <w:rPr>
          <w:rFonts w:ascii="Times New Roman" w:hAnsi="Times New Roman" w:cs="Times New Roman"/>
          <w:i/>
          <w:iCs/>
          <w:sz w:val="22"/>
          <w:szCs w:val="22"/>
          <w:lang w:val="pl-PL"/>
        </w:rPr>
        <w:t>w szczególności, bez uzasadnionych przesłanek w postaci co najmniej uprawdopodobnienia naruszenia przepisów rozporządzenia 2024/1689, nie stosuje się środków wskazanych w art. 43 ust. 4 pkt 6 i 9.</w:t>
      </w:r>
    </w:p>
    <w:p w14:paraId="5699BC20" w14:textId="56D7C42B" w:rsidR="00676D03" w:rsidRPr="00CB390A" w:rsidRDefault="00676D03" w:rsidP="00CB390A">
      <w:pPr>
        <w:pStyle w:val="Akapitzlist"/>
        <w:numPr>
          <w:ilvl w:val="0"/>
          <w:numId w:val="1"/>
        </w:numPr>
        <w:spacing w:after="120" w:line="276" w:lineRule="auto"/>
        <w:ind w:left="567" w:hanging="567"/>
        <w:rPr>
          <w:rFonts w:ascii="Times New Roman" w:hAnsi="Times New Roman" w:cs="Times New Roman"/>
          <w:i/>
          <w:iCs/>
          <w:sz w:val="22"/>
          <w:szCs w:val="22"/>
          <w:lang w:val="pl-PL"/>
        </w:rPr>
      </w:pPr>
      <w:r w:rsidRPr="00CB390A">
        <w:rPr>
          <w:rFonts w:ascii="Times New Roman" w:hAnsi="Times New Roman" w:cs="Times New Roman"/>
          <w:i/>
          <w:iCs/>
          <w:sz w:val="22"/>
          <w:szCs w:val="22"/>
          <w:lang w:val="pl-PL"/>
        </w:rPr>
        <w:t>W przypadku naruszenia tajemnicy przedsiębiorstwa kontrolowanego odpowiedzialność odszkodowawczą ponosi Skarb Państwa.</w:t>
      </w:r>
    </w:p>
    <w:p w14:paraId="62D2FB21" w14:textId="77777777"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53 ostrzeżenie</w:t>
      </w:r>
    </w:p>
    <w:p w14:paraId="52F90338"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dodać w ust. 1 zdanie drugie</w:t>
      </w:r>
    </w:p>
    <w:p w14:paraId="35FD5A34" w14:textId="77777777" w:rsidR="00676D03" w:rsidRPr="00CB390A" w:rsidRDefault="00676D03" w:rsidP="00CB390A">
      <w:pPr>
        <w:spacing w:after="120" w:line="276" w:lineRule="auto"/>
        <w:jc w:val="both"/>
        <w:rPr>
          <w:rFonts w:ascii="Times New Roman" w:hAnsi="Times New Roman"/>
          <w:i/>
          <w:iCs/>
          <w:szCs w:val="22"/>
        </w:rPr>
      </w:pPr>
      <w:r w:rsidRPr="00CB390A">
        <w:rPr>
          <w:rFonts w:ascii="Times New Roman" w:hAnsi="Times New Roman"/>
          <w:i/>
          <w:iCs/>
          <w:szCs w:val="22"/>
        </w:rPr>
        <w:lastRenderedPageBreak/>
        <w:t>Ostrzeżenie podaje się do publicznej wiadomości.</w:t>
      </w:r>
    </w:p>
    <w:p w14:paraId="537A5515" w14:textId="77777777"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Proponujemy dodać w ust. 3 zdanie drugie</w:t>
      </w:r>
    </w:p>
    <w:p w14:paraId="171ED874" w14:textId="4BE024C8" w:rsidR="00676D03" w:rsidRPr="00CB390A" w:rsidRDefault="00676D03" w:rsidP="00CB390A">
      <w:pPr>
        <w:spacing w:after="120" w:line="276" w:lineRule="auto"/>
        <w:jc w:val="both"/>
        <w:rPr>
          <w:rFonts w:ascii="Times New Roman" w:hAnsi="Times New Roman"/>
          <w:i/>
          <w:iCs/>
          <w:szCs w:val="22"/>
        </w:rPr>
      </w:pPr>
      <w:r w:rsidRPr="00CB390A">
        <w:rPr>
          <w:rFonts w:ascii="Times New Roman" w:hAnsi="Times New Roman"/>
          <w:i/>
          <w:iCs/>
          <w:szCs w:val="22"/>
        </w:rPr>
        <w:t xml:space="preserve">Na wniosek strony Przewodniczący Komisji podaje informację o wykonaniu rekomendacji </w:t>
      </w:r>
      <w:r w:rsidR="001B0B52">
        <w:rPr>
          <w:rFonts w:ascii="Times New Roman" w:hAnsi="Times New Roman"/>
          <w:i/>
          <w:iCs/>
          <w:szCs w:val="22"/>
        </w:rPr>
        <w:br/>
      </w:r>
      <w:r w:rsidRPr="00CB390A">
        <w:rPr>
          <w:rFonts w:ascii="Times New Roman" w:hAnsi="Times New Roman"/>
          <w:i/>
          <w:iCs/>
          <w:szCs w:val="22"/>
        </w:rPr>
        <w:t>do publicznej wiadomości.</w:t>
      </w:r>
    </w:p>
    <w:p w14:paraId="15629B1B" w14:textId="77777777" w:rsidR="00676D03" w:rsidRPr="00CB390A" w:rsidRDefault="00676D03" w:rsidP="00CB390A">
      <w:pPr>
        <w:spacing w:after="120" w:line="276" w:lineRule="auto"/>
        <w:jc w:val="both"/>
        <w:rPr>
          <w:rFonts w:ascii="Times New Roman" w:hAnsi="Times New Roman"/>
          <w:b/>
          <w:bCs/>
          <w:szCs w:val="22"/>
        </w:rPr>
      </w:pPr>
      <w:r w:rsidRPr="00CB390A">
        <w:rPr>
          <w:rFonts w:ascii="Times New Roman" w:hAnsi="Times New Roman"/>
          <w:b/>
          <w:bCs/>
          <w:szCs w:val="22"/>
        </w:rPr>
        <w:t>Art. 74 ważny interes</w:t>
      </w:r>
    </w:p>
    <w:p w14:paraId="02E520CC" w14:textId="61A32C1C" w:rsidR="00676D03" w:rsidRPr="00CB390A" w:rsidRDefault="00676D03" w:rsidP="00CB390A">
      <w:pPr>
        <w:spacing w:after="120" w:line="276" w:lineRule="auto"/>
        <w:jc w:val="both"/>
        <w:rPr>
          <w:rFonts w:ascii="Times New Roman" w:hAnsi="Times New Roman"/>
          <w:szCs w:val="22"/>
        </w:rPr>
      </w:pPr>
      <w:r w:rsidRPr="00CB390A">
        <w:rPr>
          <w:rFonts w:ascii="Times New Roman" w:hAnsi="Times New Roman"/>
          <w:szCs w:val="22"/>
        </w:rPr>
        <w:t xml:space="preserve">Przepis bezwzględnie należy doprecyzować, ponieważ taka redakcja narusza fundamentalne zasady państwa prawa. Projektodawca nie wskazał czyj ważny interes upoważnia Komisję </w:t>
      </w:r>
      <w:r w:rsidR="001B0B52">
        <w:rPr>
          <w:rFonts w:ascii="Times New Roman" w:hAnsi="Times New Roman"/>
          <w:szCs w:val="22"/>
        </w:rPr>
        <w:br/>
      </w:r>
      <w:r w:rsidRPr="00CB390A">
        <w:rPr>
          <w:rFonts w:ascii="Times New Roman" w:hAnsi="Times New Roman"/>
          <w:szCs w:val="22"/>
        </w:rPr>
        <w:t>do nadania decyzji rygoru natychmiastowej wykonalności.</w:t>
      </w:r>
    </w:p>
    <w:p w14:paraId="1B17679F" w14:textId="2B27D840" w:rsidR="002E2A3B" w:rsidRPr="00CB390A" w:rsidRDefault="00676D03" w:rsidP="00CB390A">
      <w:pPr>
        <w:spacing w:line="276" w:lineRule="auto"/>
        <w:jc w:val="both"/>
        <w:rPr>
          <w:rFonts w:ascii="Times New Roman" w:hAnsi="Times New Roman"/>
          <w:sz w:val="20"/>
        </w:rPr>
      </w:pPr>
      <w:r w:rsidRPr="00CB390A">
        <w:rPr>
          <w:rFonts w:ascii="Times New Roman" w:hAnsi="Times New Roman"/>
          <w:szCs w:val="22"/>
        </w:rPr>
        <w:t>Ponadto tak radykalne działanie nie może być oparte na całkowicie uznaniowych przesłankach, dlatego Projektodawca powinien co najmniej zasugerować przykładowy katalog przesłanek, które uważa za ważny interes.</w:t>
      </w:r>
    </w:p>
    <w:p w14:paraId="4BB57E77" w14:textId="77777777" w:rsidR="002E2A3B" w:rsidRPr="00CB390A" w:rsidRDefault="002E2A3B" w:rsidP="00CB390A">
      <w:pPr>
        <w:spacing w:line="276" w:lineRule="auto"/>
        <w:rPr>
          <w:rFonts w:ascii="Times New Roman" w:hAnsi="Times New Roman"/>
          <w:szCs w:val="22"/>
        </w:rPr>
      </w:pPr>
    </w:p>
    <w:p w14:paraId="0CC17F90" w14:textId="77777777" w:rsidR="002E2A3B" w:rsidRPr="00CB390A" w:rsidRDefault="002E2A3B" w:rsidP="00CB390A">
      <w:pPr>
        <w:spacing w:line="276" w:lineRule="auto"/>
        <w:rPr>
          <w:rFonts w:ascii="Times New Roman" w:hAnsi="Times New Roman"/>
          <w:szCs w:val="22"/>
        </w:rPr>
      </w:pPr>
    </w:p>
    <w:p w14:paraId="2E17AAB3" w14:textId="35B08B6A" w:rsidR="002E2A3B" w:rsidRPr="00CB390A" w:rsidRDefault="00676D03" w:rsidP="00CB390A">
      <w:pPr>
        <w:spacing w:line="276" w:lineRule="auto"/>
        <w:rPr>
          <w:rFonts w:ascii="Times New Roman" w:hAnsi="Times New Roman"/>
          <w:szCs w:val="22"/>
        </w:rPr>
      </w:pPr>
      <w:r w:rsidRPr="00CB390A">
        <w:rPr>
          <w:rFonts w:ascii="Times New Roman" w:hAnsi="Times New Roman"/>
          <w:szCs w:val="22"/>
        </w:rPr>
        <w:t>Warszawa, 14 listopada 2024 r.</w:t>
      </w:r>
    </w:p>
    <w:p w14:paraId="3EDF5115" w14:textId="77777777" w:rsidR="002E2A3B" w:rsidRPr="00CB390A" w:rsidRDefault="002E2A3B" w:rsidP="00CB390A">
      <w:pPr>
        <w:spacing w:line="276" w:lineRule="auto"/>
        <w:rPr>
          <w:rFonts w:ascii="Times New Roman" w:hAnsi="Times New Roman"/>
          <w:sz w:val="20"/>
        </w:rPr>
      </w:pPr>
    </w:p>
    <w:sectPr w:rsidR="002E2A3B" w:rsidRPr="00CB390A" w:rsidSect="00676D03">
      <w:headerReference w:type="default" r:id="rId7"/>
      <w:footerReference w:type="even" r:id="rId8"/>
      <w:footerReference w:type="default" r:id="rId9"/>
      <w:headerReference w:type="first" r:id="rId10"/>
      <w:footerReference w:type="first" r:id="rId11"/>
      <w:pgSz w:w="11906" w:h="16838" w:code="9"/>
      <w:pgMar w:top="2694" w:right="1700" w:bottom="2268" w:left="1701" w:header="851" w:footer="117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CDBC1" w14:textId="77777777" w:rsidR="00FA391E" w:rsidRDefault="00FA391E">
      <w:r>
        <w:separator/>
      </w:r>
    </w:p>
  </w:endnote>
  <w:endnote w:type="continuationSeparator" w:id="0">
    <w:p w14:paraId="58775646" w14:textId="77777777" w:rsidR="00FA391E" w:rsidRDefault="00FA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565B" w14:textId="77777777" w:rsidR="00CD04FA" w:rsidRDefault="00CD04F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5B9EA6" w14:textId="77777777" w:rsidR="00CD04FA" w:rsidRDefault="00CD04F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28AE" w14:textId="77777777" w:rsidR="00CD04FA" w:rsidRDefault="00CD04F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116DF">
      <w:rPr>
        <w:rStyle w:val="Numerstrony"/>
        <w:noProof/>
      </w:rPr>
      <w:t>2</w:t>
    </w:r>
    <w:r>
      <w:rPr>
        <w:rStyle w:val="Numerstrony"/>
      </w:rPr>
      <w:fldChar w:fldCharType="end"/>
    </w:r>
  </w:p>
  <w:p w14:paraId="502B75A6" w14:textId="77777777" w:rsidR="00CD04FA" w:rsidRPr="002E2A3B" w:rsidRDefault="00192412" w:rsidP="008574EE">
    <w:pPr>
      <w:ind w:left="-851" w:right="-993"/>
      <w:jc w:val="center"/>
      <w:rPr>
        <w:b/>
        <w:noProof/>
        <w:spacing w:val="-4"/>
        <w:sz w:val="20"/>
      </w:rPr>
    </w:pPr>
    <w:r w:rsidRPr="002E2A3B">
      <w:rPr>
        <w:b/>
        <w:noProof/>
        <w:spacing w:val="-4"/>
        <w:sz w:val="20"/>
      </w:rPr>
      <w:t>Krajowa Izba Gospodarcza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444" w14:textId="77777777" w:rsidR="00192412" w:rsidRPr="00C628DA" w:rsidRDefault="00192412" w:rsidP="006429C7">
    <w:pPr>
      <w:pStyle w:val="Stopka"/>
      <w:rPr>
        <w:b/>
        <w:spacing w:val="-4"/>
        <w:sz w:val="16"/>
      </w:rPr>
    </w:pPr>
    <w:r w:rsidRPr="00C628DA">
      <w:rPr>
        <w:b/>
        <w:spacing w:val="-4"/>
        <w:sz w:val="20"/>
      </w:rPr>
      <w:t>Krajowa Izba Gospodarcza</w:t>
    </w:r>
    <w:r w:rsidRPr="00C628DA">
      <w:rPr>
        <w:b/>
        <w:spacing w:val="-4"/>
        <w:sz w:val="16"/>
      </w:rPr>
      <w:t xml:space="preserve"> </w:t>
    </w:r>
  </w:p>
  <w:p w14:paraId="4B0415A2" w14:textId="77777777" w:rsidR="00CB390A" w:rsidRDefault="00192412" w:rsidP="006429C7">
    <w:pPr>
      <w:pStyle w:val="Stopka"/>
      <w:rPr>
        <w:spacing w:val="-4"/>
        <w:sz w:val="20"/>
      </w:rPr>
    </w:pPr>
    <w:r w:rsidRPr="00C628DA">
      <w:rPr>
        <w:spacing w:val="-4"/>
        <w:sz w:val="20"/>
      </w:rPr>
      <w:t>ul. Trębacka  4, 00-07</w:t>
    </w:r>
  </w:p>
  <w:p w14:paraId="0DFA01E9" w14:textId="77777777" w:rsidR="00CB390A" w:rsidRDefault="00CB390A" w:rsidP="006429C7">
    <w:pPr>
      <w:pStyle w:val="Stopka"/>
      <w:rPr>
        <w:spacing w:val="-4"/>
        <w:sz w:val="20"/>
      </w:rPr>
    </w:pPr>
  </w:p>
  <w:p w14:paraId="1E94F54B" w14:textId="4521BCB4" w:rsidR="00CD04FA" w:rsidRDefault="00192412" w:rsidP="006429C7">
    <w:pPr>
      <w:pStyle w:val="Stopka"/>
      <w:rPr>
        <w:spacing w:val="-4"/>
        <w:sz w:val="20"/>
      </w:rPr>
    </w:pPr>
    <w:r w:rsidRPr="00C628DA">
      <w:rPr>
        <w:spacing w:val="-4"/>
        <w:sz w:val="20"/>
      </w:rPr>
      <w:t>4  Warszawa, tel.: +48 (22) 630</w:t>
    </w:r>
    <w:r w:rsidR="003116DF">
      <w:rPr>
        <w:spacing w:val="-4"/>
        <w:sz w:val="20"/>
      </w:rPr>
      <w:t xml:space="preserve"> 96 00, e-mail:kig@kig.pl</w:t>
    </w:r>
    <w:r w:rsidRPr="00C628DA">
      <w:rPr>
        <w:spacing w:val="-4"/>
        <w:sz w:val="20"/>
      </w:rPr>
      <w:t xml:space="preserve">, </w:t>
    </w:r>
    <w:hyperlink r:id="rId1" w:history="1">
      <w:r w:rsidR="003116DF" w:rsidRPr="00B00623">
        <w:rPr>
          <w:rStyle w:val="Hipercze"/>
          <w:spacing w:val="-4"/>
          <w:sz w:val="20"/>
        </w:rPr>
        <w:t>www.kig.pl</w:t>
      </w:r>
    </w:hyperlink>
  </w:p>
  <w:p w14:paraId="539307C0" w14:textId="77777777" w:rsidR="003116DF" w:rsidRDefault="003116DF" w:rsidP="006429C7">
    <w:pPr>
      <w:pStyle w:val="Stopka"/>
      <w:rPr>
        <w:spacing w:val="-4"/>
        <w:sz w:val="20"/>
      </w:rPr>
    </w:pPr>
  </w:p>
  <w:p w14:paraId="4A9D31DB" w14:textId="77777777" w:rsidR="003116DF" w:rsidRDefault="003116DF" w:rsidP="003116DF">
    <w:pPr>
      <w:pStyle w:val="Stopka"/>
      <w:rPr>
        <w:spacing w:val="-4"/>
        <w:sz w:val="16"/>
        <w:szCs w:val="16"/>
      </w:rPr>
    </w:pPr>
    <w:r>
      <w:rPr>
        <w:spacing w:val="-4"/>
        <w:sz w:val="16"/>
        <w:szCs w:val="16"/>
      </w:rPr>
      <w:t>Sąd Rejonowy dla m. st. Warszawy  XII Wydział Gospodarczy Krajowego Rejestru Sądowego</w:t>
    </w:r>
  </w:p>
  <w:p w14:paraId="0B8E87FC" w14:textId="77777777" w:rsidR="003116DF" w:rsidRPr="003116DF" w:rsidRDefault="003116DF" w:rsidP="006429C7">
    <w:pPr>
      <w:pStyle w:val="Stopka"/>
      <w:rPr>
        <w:spacing w:val="-4"/>
        <w:sz w:val="16"/>
        <w:szCs w:val="16"/>
      </w:rPr>
    </w:pPr>
    <w:r>
      <w:rPr>
        <w:spacing w:val="-4"/>
        <w:sz w:val="16"/>
        <w:szCs w:val="16"/>
      </w:rPr>
      <w:t>KRS: 000121136, REGON: 006210187, NIP: 526 000 17 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EE2F" w14:textId="77777777" w:rsidR="00FA391E" w:rsidRDefault="00FA391E">
      <w:r>
        <w:separator/>
      </w:r>
    </w:p>
  </w:footnote>
  <w:footnote w:type="continuationSeparator" w:id="0">
    <w:p w14:paraId="5A5DE034" w14:textId="77777777" w:rsidR="00FA391E" w:rsidRDefault="00FA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3D12" w14:textId="77777777" w:rsidR="00CD04FA" w:rsidRDefault="00CD04FA">
    <w:pPr>
      <w:pStyle w:val="Nagwek"/>
    </w:pPr>
  </w:p>
  <w:p w14:paraId="41F1CE7B" w14:textId="77777777" w:rsidR="00CD04FA" w:rsidRDefault="00CD04FA">
    <w:pPr>
      <w:pStyle w:val="Nagwek"/>
      <w:jc w:val="right"/>
    </w:pPr>
  </w:p>
  <w:p w14:paraId="748B10BC" w14:textId="77777777" w:rsidR="00CD04FA" w:rsidRDefault="00CD04F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5C34" w14:textId="4F6638B5" w:rsidR="00CD04FA" w:rsidRDefault="00326D48" w:rsidP="00D21787">
    <w:pPr>
      <w:pStyle w:val="Nagwek"/>
      <w:ind w:right="-2"/>
    </w:pPr>
    <w:r>
      <w:rPr>
        <w:noProof/>
      </w:rPr>
      <w:drawing>
        <wp:anchor distT="0" distB="0" distL="114300" distR="114300" simplePos="0" relativeHeight="251657728" behindDoc="1" locked="0" layoutInCell="1" allowOverlap="1" wp14:anchorId="10186FD9" wp14:editId="26636D56">
          <wp:simplePos x="0" y="0"/>
          <wp:positionH relativeFrom="column">
            <wp:posOffset>-47625</wp:posOffset>
          </wp:positionH>
          <wp:positionV relativeFrom="paragraph">
            <wp:posOffset>-80645</wp:posOffset>
          </wp:positionV>
          <wp:extent cx="3248025" cy="838200"/>
          <wp:effectExtent l="0" t="0" r="0" b="0"/>
          <wp:wrapNone/>
          <wp:docPr id="18980364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4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E0D75"/>
    <w:multiLevelType w:val="hybridMultilevel"/>
    <w:tmpl w:val="FCB43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56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D8"/>
    <w:rsid w:val="0000119C"/>
    <w:rsid w:val="00075ADA"/>
    <w:rsid w:val="000A12EA"/>
    <w:rsid w:val="000D3759"/>
    <w:rsid w:val="000E27D8"/>
    <w:rsid w:val="00132375"/>
    <w:rsid w:val="001377FD"/>
    <w:rsid w:val="0015307B"/>
    <w:rsid w:val="00192412"/>
    <w:rsid w:val="001B0B52"/>
    <w:rsid w:val="00217AEE"/>
    <w:rsid w:val="00284F9E"/>
    <w:rsid w:val="002E14BD"/>
    <w:rsid w:val="002E2A3B"/>
    <w:rsid w:val="003116DF"/>
    <w:rsid w:val="0031749E"/>
    <w:rsid w:val="00321AA4"/>
    <w:rsid w:val="00326D48"/>
    <w:rsid w:val="00363A05"/>
    <w:rsid w:val="00365C25"/>
    <w:rsid w:val="003F3867"/>
    <w:rsid w:val="00521200"/>
    <w:rsid w:val="006278CF"/>
    <w:rsid w:val="00636E92"/>
    <w:rsid w:val="006429C7"/>
    <w:rsid w:val="00651B37"/>
    <w:rsid w:val="00676D03"/>
    <w:rsid w:val="006E7337"/>
    <w:rsid w:val="007E2069"/>
    <w:rsid w:val="008574EE"/>
    <w:rsid w:val="008671C8"/>
    <w:rsid w:val="008A5769"/>
    <w:rsid w:val="008B7E04"/>
    <w:rsid w:val="00964106"/>
    <w:rsid w:val="00975296"/>
    <w:rsid w:val="00981AE2"/>
    <w:rsid w:val="00AE1AA3"/>
    <w:rsid w:val="00AE2DEE"/>
    <w:rsid w:val="00AE6B72"/>
    <w:rsid w:val="00B03F59"/>
    <w:rsid w:val="00B86170"/>
    <w:rsid w:val="00BB2DFF"/>
    <w:rsid w:val="00BD78FD"/>
    <w:rsid w:val="00C17C0F"/>
    <w:rsid w:val="00C628DA"/>
    <w:rsid w:val="00CB390A"/>
    <w:rsid w:val="00CD04FA"/>
    <w:rsid w:val="00CE318D"/>
    <w:rsid w:val="00D21787"/>
    <w:rsid w:val="00D72967"/>
    <w:rsid w:val="00E85802"/>
    <w:rsid w:val="00E9418B"/>
    <w:rsid w:val="00FA391E"/>
    <w:rsid w:val="00FD1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D30DE"/>
  <w15:chartTrackingRefBased/>
  <w15:docId w15:val="{0C95712C-4390-42C8-93C0-6261AD6D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337"/>
    <w:rPr>
      <w:rFonts w:ascii="Arial" w:hAnsi="Arial"/>
      <w:sz w:val="22"/>
    </w:rPr>
  </w:style>
  <w:style w:type="paragraph" w:styleId="Nagwek1">
    <w:name w:val="heading 1"/>
    <w:basedOn w:val="Normalny"/>
    <w:next w:val="Normalny"/>
    <w:qFormat/>
    <w:pPr>
      <w:keepNext/>
      <w:spacing w:before="240" w:after="60"/>
      <w:outlineLvl w:val="0"/>
    </w:pPr>
    <w:rPr>
      <w:b/>
      <w:kern w:val="28"/>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styleId="Numerstrony">
    <w:name w:val="page number"/>
    <w:basedOn w:val="Domylnaczcionkaakapitu"/>
  </w:style>
  <w:style w:type="paragraph" w:styleId="Tekstpodstawowy3">
    <w:name w:val="Body Text 3"/>
    <w:basedOn w:val="Normalny"/>
    <w:rsid w:val="006E7337"/>
    <w:rPr>
      <w:rFonts w:ascii="Times New Roman" w:hAnsi="Times New Roman"/>
      <w:sz w:val="24"/>
    </w:rPr>
  </w:style>
  <w:style w:type="paragraph" w:styleId="Tekstdymka">
    <w:name w:val="Balloon Text"/>
    <w:basedOn w:val="Normalny"/>
    <w:semiHidden/>
    <w:rsid w:val="00D21787"/>
    <w:rPr>
      <w:rFonts w:ascii="Tahoma" w:hAnsi="Tahoma" w:cs="Tahoma"/>
      <w:sz w:val="16"/>
      <w:szCs w:val="16"/>
    </w:rPr>
  </w:style>
  <w:style w:type="character" w:customStyle="1" w:styleId="StopkaZnak">
    <w:name w:val="Stopka Znak"/>
    <w:basedOn w:val="Domylnaczcionkaakapitu"/>
    <w:link w:val="Stopka"/>
    <w:uiPriority w:val="99"/>
    <w:rsid w:val="003116DF"/>
    <w:rPr>
      <w:rFonts w:ascii="Arial" w:hAnsi="Arial"/>
      <w:sz w:val="22"/>
    </w:rPr>
  </w:style>
  <w:style w:type="paragraph" w:styleId="Akapitzlist">
    <w:name w:val="List Paragraph"/>
    <w:basedOn w:val="Normalny"/>
    <w:uiPriority w:val="34"/>
    <w:qFormat/>
    <w:rsid w:val="00676D03"/>
    <w:pPr>
      <w:spacing w:after="160" w:line="278" w:lineRule="auto"/>
      <w:ind w:left="720"/>
      <w:contextualSpacing/>
      <w:jc w:val="both"/>
    </w:pPr>
    <w:rPr>
      <w:rFonts w:asciiTheme="minorHAnsi" w:eastAsiaTheme="minorHAnsi" w:hAnsiTheme="minorHAnsi" w:cstheme="minorBidi"/>
      <w:kern w:val="2"/>
      <w:sz w:val="24"/>
      <w:szCs w:val="24"/>
      <w:lang w:val="en-GB" w:eastAsia="en-US"/>
      <w14:ligatures w14:val="standardContextual"/>
    </w:rPr>
  </w:style>
  <w:style w:type="table" w:styleId="Tabela-Siatka">
    <w:name w:val="Table Grid"/>
    <w:basedOn w:val="Standardowy"/>
    <w:uiPriority w:val="39"/>
    <w:rsid w:val="00CB390A"/>
    <w:rPr>
      <w:rFonts w:asciiTheme="minorHAnsi" w:eastAsiaTheme="minorHAnsi" w:hAnsiTheme="minorHAnsi" w:cstheme="minorBidi"/>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ki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9234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Krajowa Izba Gospodarcza</vt:lpstr>
    </vt:vector>
  </TitlesOfParts>
  <Company>Krajowa Izba Gospodarcza</Company>
  <LinksUpToDate>false</LinksUpToDate>
  <CharactersWithSpaces>10752</CharactersWithSpaces>
  <SharedDoc>false</SharedDoc>
  <HLinks>
    <vt:vector size="6" baseType="variant">
      <vt:variant>
        <vt:i4>7864443</vt:i4>
      </vt:variant>
      <vt:variant>
        <vt:i4>5</vt:i4>
      </vt:variant>
      <vt:variant>
        <vt:i4>0</vt:i4>
      </vt:variant>
      <vt:variant>
        <vt:i4>5</vt:i4>
      </vt:variant>
      <vt:variant>
        <vt:lpwstr>http://www.kig.pl/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Krajowa Izba Gospodarcza</dc:title>
  <dc:subject/>
  <dc:creator>Krajowa Izba Gospodarcza</dc:creator>
  <cp:keywords/>
  <dc:description/>
  <cp:lastModifiedBy>KIG</cp:lastModifiedBy>
  <cp:revision>2</cp:revision>
  <cp:lastPrinted>2024-11-18T08:20:00Z</cp:lastPrinted>
  <dcterms:created xsi:type="dcterms:W3CDTF">2024-11-21T14:32:00Z</dcterms:created>
  <dcterms:modified xsi:type="dcterms:W3CDTF">2024-11-21T14:32:00Z</dcterms:modified>
</cp:coreProperties>
</file>