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B5CA" w14:textId="4A203167" w:rsidR="00596F5C" w:rsidRPr="000E580C" w:rsidRDefault="00CA45C6" w:rsidP="00596F5C">
      <w:pPr>
        <w:spacing w:after="120"/>
        <w:jc w:val="both"/>
        <w:rPr>
          <w:b/>
        </w:rPr>
      </w:pPr>
      <w:r>
        <w:rPr>
          <w:b/>
        </w:rPr>
        <w:t>15.09</w:t>
      </w:r>
      <w:r w:rsidR="00A4047D">
        <w:rPr>
          <w:b/>
        </w:rPr>
        <w:t>.2025</w:t>
      </w:r>
      <w:r w:rsidR="00596F5C" w:rsidRPr="000E580C">
        <w:rPr>
          <w:b/>
        </w:rPr>
        <w:t xml:space="preserve"> Eksport i import </w:t>
      </w:r>
      <w:r w:rsidR="00E83635">
        <w:rPr>
          <w:b/>
        </w:rPr>
        <w:t>w okresie I-</w:t>
      </w:r>
      <w:r w:rsidR="00DB1E48">
        <w:rPr>
          <w:b/>
        </w:rPr>
        <w:t>VII</w:t>
      </w:r>
      <w:r w:rsidR="00CA4B7A">
        <w:rPr>
          <w:b/>
        </w:rPr>
        <w:t xml:space="preserve"> 202</w:t>
      </w:r>
      <w:r w:rsidR="002E16A5">
        <w:rPr>
          <w:b/>
        </w:rPr>
        <w:t>5</w:t>
      </w:r>
      <w:r w:rsidR="00596F5C" w:rsidRPr="000E580C">
        <w:rPr>
          <w:b/>
        </w:rPr>
        <w:t xml:space="preserve"> roku</w:t>
      </w:r>
    </w:p>
    <w:p w14:paraId="0255D4C3" w14:textId="4EDCB897" w:rsidR="00596F5C" w:rsidRDefault="00596F5C" w:rsidP="00596F5C">
      <w:pPr>
        <w:spacing w:after="120"/>
        <w:jc w:val="both"/>
      </w:pPr>
      <w:r w:rsidRPr="000E580C">
        <w:t xml:space="preserve">Główny Urząd Statystyczny zaprezentował dane o obrotach towarowych handlu zagranicznego ogółem i według krajów w </w:t>
      </w:r>
      <w:r w:rsidR="009536F3">
        <w:t>okresie styczeń-</w:t>
      </w:r>
      <w:r w:rsidR="00FD2865">
        <w:t>lipiec</w:t>
      </w:r>
      <w:r w:rsidR="009536F3">
        <w:t xml:space="preserve"> </w:t>
      </w:r>
      <w:r w:rsidR="00A84EC6">
        <w:t>2025 roku.</w:t>
      </w:r>
    </w:p>
    <w:p w14:paraId="7394D6D0" w14:textId="04A25C84" w:rsidR="00A84EC6" w:rsidRPr="000E580C" w:rsidRDefault="00A84EC6" w:rsidP="00A84EC6">
      <w:pPr>
        <w:spacing w:after="120"/>
        <w:jc w:val="both"/>
      </w:pPr>
      <w:r w:rsidRPr="000E580C">
        <w:t>Według informacji zawartych w raporcie, eksport ogółem w</w:t>
      </w:r>
      <w:r>
        <w:t xml:space="preserve"> analizowanym okresie</w:t>
      </w:r>
      <w:r w:rsidRPr="000E580C">
        <w:t xml:space="preserve"> wyniósł </w:t>
      </w:r>
      <w:r w:rsidR="00FD2865" w:rsidRPr="00FD2865">
        <w:t>209,4</w:t>
      </w:r>
      <w:r w:rsidR="00FD2865">
        <w:t xml:space="preserve"> </w:t>
      </w:r>
      <w:r>
        <w:t xml:space="preserve">mld </w:t>
      </w:r>
      <w:r w:rsidR="0058464B">
        <w:t>EUR</w:t>
      </w:r>
      <w:r>
        <w:t xml:space="preserve">, </w:t>
      </w:r>
      <w:r w:rsidRPr="000E580C">
        <w:t xml:space="preserve">co stanowiło wartość o </w:t>
      </w:r>
      <w:r w:rsidR="00FD2865">
        <w:t>1,8</w:t>
      </w:r>
      <w:r w:rsidRPr="000E580C">
        <w:t xml:space="preserve">% </w:t>
      </w:r>
      <w:r w:rsidR="007421D3">
        <w:t>wyższą</w:t>
      </w:r>
      <w:r w:rsidRPr="000E580C">
        <w:t xml:space="preserve"> niż w analogicznym okresie </w:t>
      </w:r>
      <w:r>
        <w:t xml:space="preserve">poprzedniego roku. </w:t>
      </w:r>
    </w:p>
    <w:p w14:paraId="113D655D" w14:textId="579F6C46" w:rsidR="00596F5C" w:rsidRPr="000E580C" w:rsidRDefault="001E4B93" w:rsidP="00596F5C">
      <w:pPr>
        <w:spacing w:after="120"/>
        <w:jc w:val="both"/>
      </w:pPr>
      <w:r>
        <w:t>G</w:t>
      </w:r>
      <w:r w:rsidR="00596F5C" w:rsidRPr="000E580C">
        <w:t xml:space="preserve">łównym partnerem handlowym Polski pozostają Niemcy. W </w:t>
      </w:r>
      <w:r w:rsidR="0058464B">
        <w:t>pierwszy</w:t>
      </w:r>
      <w:r w:rsidR="00B32755">
        <w:t xml:space="preserve">ch </w:t>
      </w:r>
      <w:r w:rsidR="00FD2865">
        <w:t>siedmiu</w:t>
      </w:r>
      <w:r w:rsidR="00B32755">
        <w:t xml:space="preserve"> miesiącach</w:t>
      </w:r>
      <w:r w:rsidR="0058464B">
        <w:t xml:space="preserve"> 2025 roku</w:t>
      </w:r>
      <w:r w:rsidR="00596F5C" w:rsidRPr="000E580C">
        <w:t xml:space="preserve"> nasz eksport sięgnął tu </w:t>
      </w:r>
      <w:r w:rsidR="00FD2865">
        <w:t>56,4</w:t>
      </w:r>
      <w:r w:rsidR="002160D7">
        <w:t xml:space="preserve"> </w:t>
      </w:r>
      <w:r w:rsidR="00596F5C" w:rsidRPr="000E580C">
        <w:t xml:space="preserve">mld EUR i jednocześnie okazał się o </w:t>
      </w:r>
      <w:r w:rsidR="00235C2C">
        <w:t>1,</w:t>
      </w:r>
      <w:r w:rsidR="00FD2865">
        <w:t>3</w:t>
      </w:r>
      <w:r w:rsidR="00596F5C" w:rsidRPr="000E580C">
        <w:t xml:space="preserve">% </w:t>
      </w:r>
      <w:r w:rsidR="00FD2865">
        <w:t>wyższy</w:t>
      </w:r>
      <w:r w:rsidR="00596F5C" w:rsidRPr="000E580C">
        <w:t xml:space="preserve"> niż przed rokiem. </w:t>
      </w:r>
    </w:p>
    <w:p w14:paraId="7B664CB1" w14:textId="77087D37" w:rsidR="00596F5C" w:rsidRPr="000E580C" w:rsidRDefault="00596F5C" w:rsidP="00596F5C">
      <w:pPr>
        <w:spacing w:after="120"/>
        <w:jc w:val="both"/>
      </w:pPr>
      <w:r w:rsidRPr="000E580C">
        <w:t xml:space="preserve">Eksport do pozostałych krajów strefy euro sięgnął w </w:t>
      </w:r>
      <w:r w:rsidR="00C43019">
        <w:t>okresie I-</w:t>
      </w:r>
      <w:r w:rsidR="00FD2865">
        <w:t>VII</w:t>
      </w:r>
      <w:r w:rsidR="00C43019">
        <w:t xml:space="preserve"> br. </w:t>
      </w:r>
      <w:r w:rsidR="00FD2865" w:rsidRPr="00FD2865">
        <w:t>66,3</w:t>
      </w:r>
      <w:r w:rsidR="00FD2865">
        <w:t xml:space="preserve"> </w:t>
      </w:r>
      <w:r w:rsidRPr="000E580C">
        <w:t xml:space="preserve">mld EUR i </w:t>
      </w:r>
      <w:r w:rsidR="00FD2865">
        <w:t>był wyższy r/r o 1,9%</w:t>
      </w:r>
      <w:r w:rsidRPr="000E580C">
        <w:t>. Warto zwrócić uwagę na wyniki sprzedaży do Francji (</w:t>
      </w:r>
      <w:r w:rsidR="00FD2865" w:rsidRPr="00FD2865">
        <w:t>12,9</w:t>
      </w:r>
      <w:r w:rsidR="0058464B">
        <w:t xml:space="preserve"> </w:t>
      </w:r>
      <w:r w:rsidRPr="000E580C">
        <w:t xml:space="preserve">mld EUR, </w:t>
      </w:r>
      <w:r w:rsidR="00FD2865">
        <w:t>wzrost</w:t>
      </w:r>
      <w:r w:rsidRPr="000E580C">
        <w:t xml:space="preserve"> o </w:t>
      </w:r>
      <w:r w:rsidR="00FD2865">
        <w:t>0,4</w:t>
      </w:r>
      <w:r w:rsidRPr="000E580C">
        <w:t>%), Holandii (</w:t>
      </w:r>
      <w:r w:rsidR="00FD2865" w:rsidRPr="00FD2865">
        <w:t>9,6</w:t>
      </w:r>
      <w:r w:rsidR="00FD2865">
        <w:t xml:space="preserve"> </w:t>
      </w:r>
      <w:r w:rsidRPr="000E580C">
        <w:t xml:space="preserve">mld EUR, </w:t>
      </w:r>
      <w:r w:rsidR="00FD2865">
        <w:t>wzrost o 1,1%</w:t>
      </w:r>
      <w:r w:rsidR="0058464B">
        <w:t>)</w:t>
      </w:r>
      <w:r w:rsidRPr="000E580C">
        <w:t>, Włoch (</w:t>
      </w:r>
      <w:r w:rsidR="00FD2865" w:rsidRPr="00FD2865">
        <w:t>9,4</w:t>
      </w:r>
      <w:r w:rsidR="00FD2865">
        <w:t xml:space="preserve"> </w:t>
      </w:r>
      <w:r w:rsidRPr="000E580C">
        <w:t xml:space="preserve">mld EUR, spadek o </w:t>
      </w:r>
      <w:r w:rsidR="00FD2865">
        <w:t>2,8</w:t>
      </w:r>
      <w:r w:rsidRPr="000E580C">
        <w:t>%), Hiszpanii (</w:t>
      </w:r>
      <w:r w:rsidR="00FD2865">
        <w:t>6,2</w:t>
      </w:r>
      <w:r w:rsidRPr="000E580C">
        <w:t xml:space="preserve"> mld EUR, </w:t>
      </w:r>
      <w:r w:rsidR="002160D7">
        <w:t xml:space="preserve">wzrost o </w:t>
      </w:r>
      <w:r w:rsidR="00235C2C">
        <w:t>3,</w:t>
      </w:r>
      <w:r w:rsidR="00FD2865">
        <w:t>6</w:t>
      </w:r>
      <w:r w:rsidR="002160D7">
        <w:t>%</w:t>
      </w:r>
      <w:r w:rsidR="0058464B">
        <w:t>)</w:t>
      </w:r>
      <w:r w:rsidRPr="000E580C">
        <w:t xml:space="preserve"> i na Słowację (</w:t>
      </w:r>
      <w:r w:rsidR="00FD2865">
        <w:t>5,7</w:t>
      </w:r>
      <w:r w:rsidRPr="000E580C">
        <w:t xml:space="preserve"> mld EUR</w:t>
      </w:r>
      <w:r w:rsidR="00CA2A7F">
        <w:t>,</w:t>
      </w:r>
      <w:r w:rsidRPr="000E580C">
        <w:t xml:space="preserve"> </w:t>
      </w:r>
      <w:r w:rsidR="0058464B">
        <w:t xml:space="preserve">wzrost o </w:t>
      </w:r>
      <w:r w:rsidR="00FD2865">
        <w:t>5,1</w:t>
      </w:r>
      <w:r w:rsidRPr="000E580C">
        <w:t xml:space="preserve">%). </w:t>
      </w:r>
    </w:p>
    <w:p w14:paraId="1E990D13" w14:textId="5E774787" w:rsidR="00596F5C" w:rsidRPr="000E580C" w:rsidRDefault="00596F5C" w:rsidP="00596F5C">
      <w:pPr>
        <w:spacing w:after="120"/>
        <w:jc w:val="both"/>
      </w:pPr>
      <w:r w:rsidRPr="000E580C">
        <w:t xml:space="preserve">W przypadku krajów UE pozostających poza strefą euro eksport wyniósł </w:t>
      </w:r>
      <w:r w:rsidR="00FD2865">
        <w:t>33,4</w:t>
      </w:r>
      <w:r w:rsidR="00235C2C" w:rsidRPr="00235C2C">
        <w:t xml:space="preserve"> </w:t>
      </w:r>
      <w:r w:rsidRPr="000E580C">
        <w:t xml:space="preserve">mld EUR i okazał się </w:t>
      </w:r>
      <w:r w:rsidR="00B85614">
        <w:t xml:space="preserve">o </w:t>
      </w:r>
      <w:r w:rsidR="002160D7">
        <w:t>4,</w:t>
      </w:r>
      <w:r w:rsidR="00FD2865">
        <w:t>0</w:t>
      </w:r>
      <w:r w:rsidRPr="000E580C">
        <w:t xml:space="preserve">% </w:t>
      </w:r>
      <w:r w:rsidR="00C43019">
        <w:t>wyższy</w:t>
      </w:r>
      <w:r w:rsidRPr="000E580C">
        <w:t xml:space="preserve"> niż przed rokiem</w:t>
      </w:r>
      <w:r w:rsidR="00B85614">
        <w:t xml:space="preserve">. </w:t>
      </w:r>
      <w:r w:rsidRPr="000E580C">
        <w:t>Dominuje tu sprzedaż do Czech (</w:t>
      </w:r>
      <w:r w:rsidR="00FD2865">
        <w:t>12,9</w:t>
      </w:r>
      <w:r w:rsidRPr="000E580C">
        <w:t xml:space="preserve"> mld EUR</w:t>
      </w:r>
      <w:r w:rsidR="00A263E9">
        <w:t>,</w:t>
      </w:r>
      <w:r w:rsidRPr="000E580C">
        <w:t xml:space="preserve"> </w:t>
      </w:r>
      <w:r w:rsidR="002160D7">
        <w:t xml:space="preserve">wzrost o </w:t>
      </w:r>
      <w:r w:rsidR="00FD2865">
        <w:t>0,9</w:t>
      </w:r>
      <w:r w:rsidRPr="000E580C">
        <w:t xml:space="preserve">%). </w:t>
      </w:r>
    </w:p>
    <w:p w14:paraId="12C9D3E9" w14:textId="74D7A65B" w:rsidR="00CA2A7F" w:rsidRDefault="002160D7" w:rsidP="00596F5C">
      <w:pPr>
        <w:spacing w:after="120"/>
        <w:jc w:val="both"/>
      </w:pPr>
      <w:r>
        <w:t>E</w:t>
      </w:r>
      <w:r w:rsidRPr="000E580C">
        <w:t xml:space="preserve">ksport </w:t>
      </w:r>
      <w:r>
        <w:t>do</w:t>
      </w:r>
      <w:r w:rsidRPr="000E580C">
        <w:t xml:space="preserve"> kraj</w:t>
      </w:r>
      <w:r>
        <w:t xml:space="preserve">ów </w:t>
      </w:r>
      <w:r w:rsidRPr="000E580C">
        <w:t>wysokorozwinięt</w:t>
      </w:r>
      <w:r>
        <w:t>ych</w:t>
      </w:r>
      <w:r w:rsidRPr="000E580C">
        <w:t xml:space="preserve"> spoza UE </w:t>
      </w:r>
      <w:r>
        <w:t xml:space="preserve">wyniósł w pierwszych </w:t>
      </w:r>
      <w:r w:rsidR="00D75958">
        <w:t>siedmiu</w:t>
      </w:r>
      <w:r>
        <w:t xml:space="preserve"> miesiącach </w:t>
      </w:r>
      <w:r w:rsidR="00FD2865" w:rsidRPr="00FD2865">
        <w:t>26,3</w:t>
      </w:r>
      <w:r w:rsidR="00235C2C" w:rsidRPr="00235C2C">
        <w:t xml:space="preserve"> </w:t>
      </w:r>
      <w:r w:rsidR="00596F5C" w:rsidRPr="000E580C">
        <w:t xml:space="preserve">mld EUR </w:t>
      </w:r>
      <w:r w:rsidR="00AD6961">
        <w:t>i był w</w:t>
      </w:r>
      <w:r w:rsidR="00596F5C" w:rsidRPr="000E580C">
        <w:t xml:space="preserve">yższy niż przed rokiem o </w:t>
      </w:r>
      <w:r w:rsidR="00235C2C">
        <w:t>4,</w:t>
      </w:r>
      <w:r w:rsidR="00FD2865">
        <w:t>2</w:t>
      </w:r>
      <w:r w:rsidR="00596F5C" w:rsidRPr="000E580C">
        <w:t>%</w:t>
      </w:r>
      <w:r w:rsidR="00AD6961">
        <w:t xml:space="preserve"> (w tym</w:t>
      </w:r>
      <w:r w:rsidR="00596F5C" w:rsidRPr="000E580C">
        <w:t xml:space="preserve"> np. do Wielkiej Brytanii </w:t>
      </w:r>
      <w:r w:rsidR="00AD6961">
        <w:t xml:space="preserve">wyniósł </w:t>
      </w:r>
      <w:r w:rsidR="00FD2865">
        <w:t>11,1</w:t>
      </w:r>
      <w:r w:rsidR="00596F5C" w:rsidRPr="000E580C">
        <w:t xml:space="preserve"> mld EUR</w:t>
      </w:r>
      <w:r w:rsidR="00AD6961">
        <w:t xml:space="preserve"> i był wyższy</w:t>
      </w:r>
      <w:r w:rsidR="00596F5C" w:rsidRPr="000E580C">
        <w:t xml:space="preserve"> o </w:t>
      </w:r>
      <w:r w:rsidR="00FD2865">
        <w:t>2,6</w:t>
      </w:r>
      <w:r w:rsidR="00596F5C" w:rsidRPr="000E580C">
        <w:t>%</w:t>
      </w:r>
      <w:r w:rsidR="00D71EFE">
        <w:t>)</w:t>
      </w:r>
      <w:r w:rsidR="00AD6961">
        <w:t>;</w:t>
      </w:r>
      <w:r w:rsidR="00596F5C" w:rsidRPr="000E580C">
        <w:t xml:space="preserve"> do USA </w:t>
      </w:r>
      <w:r w:rsidR="00D71EFE">
        <w:t>(</w:t>
      </w:r>
      <w:r w:rsidR="00FD2865">
        <w:t>6,9</w:t>
      </w:r>
      <w:r w:rsidR="00596F5C" w:rsidRPr="000E580C">
        <w:t xml:space="preserve"> mld EUR</w:t>
      </w:r>
      <w:r w:rsidR="00AD6961">
        <w:t xml:space="preserve"> ze</w:t>
      </w:r>
      <w:r w:rsidR="00596F5C" w:rsidRPr="000E580C">
        <w:t xml:space="preserve"> wzrost</w:t>
      </w:r>
      <w:r w:rsidR="00AD6961">
        <w:t>em</w:t>
      </w:r>
      <w:r w:rsidR="00596F5C" w:rsidRPr="000E580C">
        <w:t xml:space="preserve"> o </w:t>
      </w:r>
      <w:r w:rsidR="00FD2865">
        <w:t>2,6</w:t>
      </w:r>
      <w:r w:rsidR="00596F5C" w:rsidRPr="000E580C">
        <w:t>%</w:t>
      </w:r>
      <w:r w:rsidR="00235C2C">
        <w:t>).</w:t>
      </w:r>
    </w:p>
    <w:p w14:paraId="42C96B74" w14:textId="3A4783FC" w:rsidR="00CA2A7F" w:rsidRDefault="00596F5C" w:rsidP="00596F5C">
      <w:pPr>
        <w:spacing w:after="120"/>
        <w:jc w:val="both"/>
        <w:rPr>
          <w:rFonts w:cstheme="minorHAnsi"/>
          <w:color w:val="222222"/>
          <w:shd w:val="clear" w:color="auto" w:fill="FFFFFF"/>
        </w:rPr>
      </w:pPr>
      <w:r w:rsidRPr="000E580C">
        <w:rPr>
          <w:rFonts w:cstheme="minorHAnsi"/>
          <w:color w:val="222222"/>
          <w:shd w:val="clear" w:color="auto" w:fill="FFFFFF"/>
        </w:rPr>
        <w:t xml:space="preserve">Do krajów Europy Środkowo-Wschodniej wyeksportowano </w:t>
      </w:r>
      <w:r w:rsidR="003E7145">
        <w:rPr>
          <w:rFonts w:cstheme="minorHAnsi"/>
          <w:color w:val="222222"/>
          <w:shd w:val="clear" w:color="auto" w:fill="FFFFFF"/>
        </w:rPr>
        <w:t>w okresie I-</w:t>
      </w:r>
      <w:r w:rsidR="00D56268">
        <w:rPr>
          <w:rFonts w:cstheme="minorHAnsi"/>
          <w:color w:val="222222"/>
          <w:shd w:val="clear" w:color="auto" w:fill="FFFFFF"/>
        </w:rPr>
        <w:t>VII</w:t>
      </w:r>
      <w:r w:rsidR="003E7145">
        <w:rPr>
          <w:rFonts w:cstheme="minorHAnsi"/>
          <w:color w:val="222222"/>
          <w:shd w:val="clear" w:color="auto" w:fill="FFFFFF"/>
        </w:rPr>
        <w:t xml:space="preserve"> 2025 r.</w:t>
      </w:r>
      <w:r w:rsidRPr="000E580C">
        <w:rPr>
          <w:rFonts w:cstheme="minorHAnsi"/>
          <w:color w:val="222222"/>
          <w:shd w:val="clear" w:color="auto" w:fill="FFFFFF"/>
        </w:rPr>
        <w:t xml:space="preserve"> towary na kwotę </w:t>
      </w:r>
      <w:r w:rsidR="00D71DBF">
        <w:rPr>
          <w:rFonts w:cstheme="minorHAnsi"/>
          <w:color w:val="222222"/>
          <w:shd w:val="clear" w:color="auto" w:fill="FFFFFF"/>
        </w:rPr>
        <w:t xml:space="preserve"> </w:t>
      </w:r>
      <w:r w:rsidR="00D56268">
        <w:rPr>
          <w:rFonts w:cstheme="minorHAnsi"/>
          <w:color w:val="222222"/>
          <w:shd w:val="clear" w:color="auto" w:fill="FFFFFF"/>
        </w:rPr>
        <w:t>9,7</w:t>
      </w:r>
      <w:r w:rsidR="00235C2C" w:rsidRPr="00235C2C">
        <w:rPr>
          <w:rFonts w:cstheme="minorHAnsi"/>
          <w:color w:val="222222"/>
          <w:shd w:val="clear" w:color="auto" w:fill="FFFFFF"/>
        </w:rPr>
        <w:t xml:space="preserve"> </w:t>
      </w:r>
      <w:r w:rsidRPr="000E580C">
        <w:rPr>
          <w:rFonts w:cstheme="minorHAnsi"/>
          <w:color w:val="222222"/>
          <w:shd w:val="clear" w:color="auto" w:fill="FFFFFF"/>
        </w:rPr>
        <w:t>mld EUR (</w:t>
      </w:r>
      <w:r w:rsidR="00B85614">
        <w:rPr>
          <w:rFonts w:cstheme="minorHAnsi"/>
          <w:color w:val="222222"/>
          <w:shd w:val="clear" w:color="auto" w:fill="FFFFFF"/>
        </w:rPr>
        <w:t xml:space="preserve">spadek o </w:t>
      </w:r>
      <w:r w:rsidR="00D56268">
        <w:rPr>
          <w:rFonts w:cstheme="minorHAnsi"/>
          <w:color w:val="222222"/>
          <w:shd w:val="clear" w:color="auto" w:fill="FFFFFF"/>
        </w:rPr>
        <w:t>6,8</w:t>
      </w:r>
      <w:r w:rsidRPr="000E580C">
        <w:rPr>
          <w:rFonts w:cstheme="minorHAnsi"/>
          <w:color w:val="222222"/>
          <w:shd w:val="clear" w:color="auto" w:fill="FFFFFF"/>
        </w:rPr>
        <w:t>%), głównie na Ukrainę (</w:t>
      </w:r>
      <w:r w:rsidR="00D56268">
        <w:rPr>
          <w:rFonts w:cstheme="minorHAnsi"/>
          <w:color w:val="222222"/>
          <w:shd w:val="clear" w:color="auto" w:fill="FFFFFF"/>
        </w:rPr>
        <w:t>7,4</w:t>
      </w:r>
      <w:r w:rsidRPr="000E580C">
        <w:rPr>
          <w:rFonts w:cstheme="minorHAnsi"/>
          <w:color w:val="222222"/>
          <w:shd w:val="clear" w:color="auto" w:fill="FFFFFF"/>
        </w:rPr>
        <w:t xml:space="preserve"> mld EUR</w:t>
      </w:r>
      <w:r w:rsidR="00CA2A7F">
        <w:rPr>
          <w:rFonts w:cstheme="minorHAnsi"/>
          <w:color w:val="222222"/>
          <w:shd w:val="clear" w:color="auto" w:fill="FFFFFF"/>
        </w:rPr>
        <w:t>,</w:t>
      </w:r>
      <w:r w:rsidRPr="000E580C">
        <w:rPr>
          <w:rFonts w:cstheme="minorHAnsi"/>
          <w:color w:val="222222"/>
          <w:shd w:val="clear" w:color="auto" w:fill="FFFFFF"/>
        </w:rPr>
        <w:t xml:space="preserve"> </w:t>
      </w:r>
      <w:r w:rsidR="003E7145">
        <w:rPr>
          <w:rFonts w:cstheme="minorHAnsi"/>
          <w:color w:val="222222"/>
          <w:shd w:val="clear" w:color="auto" w:fill="FFFFFF"/>
        </w:rPr>
        <w:t>wzrost</w:t>
      </w:r>
      <w:r w:rsidR="00B85614">
        <w:rPr>
          <w:rFonts w:cstheme="minorHAnsi"/>
          <w:color w:val="222222"/>
          <w:shd w:val="clear" w:color="auto" w:fill="FFFFFF"/>
        </w:rPr>
        <w:t xml:space="preserve"> o </w:t>
      </w:r>
      <w:r w:rsidR="00D56268">
        <w:rPr>
          <w:rFonts w:cstheme="minorHAnsi"/>
          <w:color w:val="222222"/>
          <w:shd w:val="clear" w:color="auto" w:fill="FFFFFF"/>
        </w:rPr>
        <w:t>5,4</w:t>
      </w:r>
      <w:r w:rsidRPr="000E580C">
        <w:rPr>
          <w:rFonts w:cstheme="minorHAnsi"/>
          <w:color w:val="222222"/>
          <w:shd w:val="clear" w:color="auto" w:fill="FFFFFF"/>
        </w:rPr>
        <w:t xml:space="preserve">%). </w:t>
      </w:r>
    </w:p>
    <w:p w14:paraId="70976598" w14:textId="69E84E5D" w:rsidR="00596F5C" w:rsidRDefault="00596F5C" w:rsidP="00596F5C">
      <w:pPr>
        <w:spacing w:after="120"/>
        <w:jc w:val="both"/>
        <w:rPr>
          <w:rFonts w:cstheme="minorHAnsi"/>
          <w:color w:val="222222"/>
          <w:shd w:val="clear" w:color="auto" w:fill="FFFFFF"/>
        </w:rPr>
      </w:pPr>
      <w:r w:rsidRPr="000E580C">
        <w:rPr>
          <w:rFonts w:cstheme="minorHAnsi"/>
          <w:color w:val="222222"/>
          <w:shd w:val="clear" w:color="auto" w:fill="FFFFFF"/>
        </w:rPr>
        <w:t xml:space="preserve">Do krajów rozwijających się odnotowano eksport na poziomie </w:t>
      </w:r>
      <w:r w:rsidR="00D56268">
        <w:rPr>
          <w:rFonts w:cstheme="minorHAnsi"/>
          <w:color w:val="222222"/>
          <w:shd w:val="clear" w:color="auto" w:fill="FFFFFF"/>
        </w:rPr>
        <w:t>17,3</w:t>
      </w:r>
      <w:r w:rsidR="00235C2C" w:rsidRPr="00235C2C">
        <w:rPr>
          <w:rFonts w:cstheme="minorHAnsi"/>
          <w:color w:val="222222"/>
          <w:shd w:val="clear" w:color="auto" w:fill="FFFFFF"/>
        </w:rPr>
        <w:t xml:space="preserve"> </w:t>
      </w:r>
      <w:r w:rsidRPr="000E580C">
        <w:rPr>
          <w:rFonts w:cstheme="minorHAnsi"/>
          <w:color w:val="222222"/>
          <w:shd w:val="clear" w:color="auto" w:fill="FFFFFF"/>
        </w:rPr>
        <w:t xml:space="preserve">mld EUR – </w:t>
      </w:r>
      <w:r w:rsidR="00235C2C">
        <w:rPr>
          <w:rFonts w:cstheme="minorHAnsi"/>
          <w:color w:val="222222"/>
          <w:shd w:val="clear" w:color="auto" w:fill="FFFFFF"/>
        </w:rPr>
        <w:t>wyższy</w:t>
      </w:r>
      <w:r w:rsidRPr="000E580C">
        <w:rPr>
          <w:rFonts w:cstheme="minorHAnsi"/>
          <w:color w:val="222222"/>
          <w:shd w:val="clear" w:color="auto" w:fill="FFFFFF"/>
        </w:rPr>
        <w:t xml:space="preserve"> niż przed rokiem o </w:t>
      </w:r>
      <w:r w:rsidR="00D56268">
        <w:rPr>
          <w:rFonts w:cstheme="minorHAnsi"/>
          <w:color w:val="222222"/>
          <w:shd w:val="clear" w:color="auto" w:fill="FFFFFF"/>
        </w:rPr>
        <w:t>1,1</w:t>
      </w:r>
      <w:r w:rsidRPr="000E580C">
        <w:rPr>
          <w:rFonts w:cstheme="minorHAnsi"/>
          <w:color w:val="222222"/>
          <w:shd w:val="clear" w:color="auto" w:fill="FFFFFF"/>
        </w:rPr>
        <w:t xml:space="preserve">%. </w:t>
      </w:r>
    </w:p>
    <w:tbl>
      <w:tblPr>
        <w:tblW w:w="8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708"/>
        <w:gridCol w:w="1104"/>
      </w:tblGrid>
      <w:tr w:rsidR="00D56268" w:rsidRPr="00D56268" w14:paraId="2075C808" w14:textId="77777777" w:rsidTr="00D56268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24CC6B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303BC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730096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I-VII 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A6AA9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Import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0AAC03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I-VII 2025</w:t>
            </w:r>
          </w:p>
        </w:tc>
      </w:tr>
      <w:tr w:rsidR="00D56268" w:rsidRPr="00D56268" w14:paraId="514205A2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7A5AF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0F0E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mld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55D1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dynamika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B0294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mld EUR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9E78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dynamika</w:t>
            </w:r>
          </w:p>
        </w:tc>
      </w:tr>
      <w:tr w:rsidR="00D56268" w:rsidRPr="00D56268" w14:paraId="0F596764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DEFFDA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A2C88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5B2B42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75241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B41D5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5,3%</w:t>
            </w:r>
          </w:p>
        </w:tc>
      </w:tr>
      <w:tr w:rsidR="00D56268" w:rsidRPr="00D56268" w14:paraId="13ECD48B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E02717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88D4C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6184D5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D2B2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6CBF1F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3,1%</w:t>
            </w:r>
          </w:p>
        </w:tc>
      </w:tr>
      <w:tr w:rsidR="00D56268" w:rsidRPr="00D56268" w14:paraId="3F8060D4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A28886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Reszta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6715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EB4169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91623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131102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2,2%</w:t>
            </w:r>
          </w:p>
        </w:tc>
      </w:tr>
      <w:tr w:rsidR="00D56268" w:rsidRPr="00D56268" w14:paraId="32EEDCBF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0F7C75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Kraje UE spoza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66D5E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3E9952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CC765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CA10B0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3,6%</w:t>
            </w:r>
          </w:p>
        </w:tc>
      </w:tr>
      <w:tr w:rsidR="00D56268" w:rsidRPr="00D56268" w14:paraId="7B183E0D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976232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kraje rozwinięte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8FC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9118D7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4,2%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D585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763691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2,8%</w:t>
            </w:r>
          </w:p>
        </w:tc>
      </w:tr>
      <w:tr w:rsidR="00D56268" w:rsidRPr="00D56268" w14:paraId="44E068E3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116FB5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Kraje Europy - Środkowo Wschodniej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5DAC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1977A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-6,8%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D173C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6132A2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-9,5%</w:t>
            </w:r>
          </w:p>
        </w:tc>
      </w:tr>
      <w:tr w:rsidR="00D56268" w:rsidRPr="00D56268" w14:paraId="556EC7FF" w14:textId="77777777" w:rsidTr="00D56268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A600" w14:textId="77777777" w:rsidR="00D56268" w:rsidRPr="00D56268" w:rsidRDefault="00D56268" w:rsidP="00D562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Kraje rozwijające się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15086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0EB4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EFEA0E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ECAE" w14:textId="77777777" w:rsidR="00D56268" w:rsidRPr="00D56268" w:rsidRDefault="00D56268" w:rsidP="00D562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11,4%</w:t>
            </w:r>
          </w:p>
        </w:tc>
      </w:tr>
    </w:tbl>
    <w:p w14:paraId="65304747" w14:textId="77777777" w:rsidR="00CA2A7F" w:rsidRPr="000E580C" w:rsidRDefault="00CA2A7F" w:rsidP="00596F5C">
      <w:pPr>
        <w:spacing w:after="120"/>
        <w:jc w:val="both"/>
      </w:pPr>
    </w:p>
    <w:p w14:paraId="5823E870" w14:textId="45A1EE70" w:rsidR="00E2408C" w:rsidRDefault="00E2408C" w:rsidP="00596F5C">
      <w:pPr>
        <w:spacing w:after="120"/>
        <w:jc w:val="both"/>
      </w:pPr>
      <w:r w:rsidRPr="002A4C9E">
        <w:t xml:space="preserve">W </w:t>
      </w:r>
      <w:r>
        <w:t>pierwszy</w:t>
      </w:r>
      <w:r w:rsidR="00446A41">
        <w:t xml:space="preserve">ch </w:t>
      </w:r>
      <w:r w:rsidR="00D75958">
        <w:t>siedmiu</w:t>
      </w:r>
      <w:r w:rsidR="0031460B">
        <w:t xml:space="preserve"> </w:t>
      </w:r>
      <w:r w:rsidR="00446A41">
        <w:t xml:space="preserve">miesiącach </w:t>
      </w:r>
      <w:r>
        <w:t>2025</w:t>
      </w:r>
      <w:r w:rsidRPr="002A4C9E">
        <w:t xml:space="preserve"> roku import ogółem wyniósł </w:t>
      </w:r>
      <w:r w:rsidR="00D75958" w:rsidRPr="00D75958">
        <w:t>212,8</w:t>
      </w:r>
      <w:r w:rsidR="00D75958">
        <w:t xml:space="preserve"> </w:t>
      </w:r>
      <w:r w:rsidRPr="002A4C9E">
        <w:t xml:space="preserve">mld </w:t>
      </w:r>
      <w:r w:rsidRPr="002A4C9E">
        <w:rPr>
          <w:rFonts w:cstheme="minorHAnsi"/>
          <w:color w:val="222222"/>
          <w:shd w:val="clear" w:color="auto" w:fill="FFFFFF"/>
        </w:rPr>
        <w:t>EUR</w:t>
      </w:r>
      <w:r w:rsidRPr="002A4C9E">
        <w:t xml:space="preserve">, co stanowiło wartość </w:t>
      </w:r>
      <w:r w:rsidR="00BF7646">
        <w:t xml:space="preserve">o </w:t>
      </w:r>
      <w:r w:rsidR="00D75958">
        <w:t>5</w:t>
      </w:r>
      <w:r w:rsidR="00F433D7">
        <w:t>,3</w:t>
      </w:r>
      <w:r w:rsidRPr="002A4C9E">
        <w:t xml:space="preserve">% wyższą niż w analogicznym okresie roku ubiegłego. </w:t>
      </w:r>
    </w:p>
    <w:p w14:paraId="5801C2E0" w14:textId="1CE60282" w:rsidR="00596F5C" w:rsidRPr="002A4C9E" w:rsidRDefault="00596F5C" w:rsidP="00596F5C">
      <w:pPr>
        <w:spacing w:after="120"/>
        <w:jc w:val="both"/>
      </w:pPr>
      <w:r w:rsidRPr="002A4C9E">
        <w:t xml:space="preserve">W </w:t>
      </w:r>
      <w:r w:rsidR="00B16010">
        <w:t>okresie I</w:t>
      </w:r>
      <w:r w:rsidR="00D75958">
        <w:t>-VII</w:t>
      </w:r>
      <w:r w:rsidR="00E2408C">
        <w:t xml:space="preserve"> br.</w:t>
      </w:r>
      <w:r w:rsidRPr="002A4C9E">
        <w:t xml:space="preserve"> roku nasz import z Niemiec sięgnął </w:t>
      </w:r>
      <w:r w:rsidR="00E2408C">
        <w:t xml:space="preserve"> </w:t>
      </w:r>
      <w:r w:rsidR="00D75958">
        <w:t>41,2</w:t>
      </w:r>
      <w:r w:rsidR="002037C4" w:rsidRPr="002037C4">
        <w:t xml:space="preserve"> </w:t>
      </w:r>
      <w:r w:rsidRPr="002A4C9E">
        <w:t xml:space="preserve">mld EUR i jednocześnie okazał się o </w:t>
      </w:r>
      <w:r w:rsidR="00D75958">
        <w:t>3,1</w:t>
      </w:r>
      <w:r w:rsidRPr="002A4C9E">
        <w:t xml:space="preserve">% </w:t>
      </w:r>
      <w:r w:rsidR="002037C4">
        <w:t>wyższy</w:t>
      </w:r>
      <w:r w:rsidRPr="002A4C9E">
        <w:t xml:space="preserve"> niż przed rokiem</w:t>
      </w:r>
      <w:r w:rsidR="00E2408C">
        <w:t>.</w:t>
      </w:r>
    </w:p>
    <w:p w14:paraId="569DFC11" w14:textId="6190466E" w:rsidR="00596F5C" w:rsidRPr="002A4C9E" w:rsidRDefault="00596F5C" w:rsidP="00596F5C">
      <w:pPr>
        <w:spacing w:after="120"/>
        <w:jc w:val="both"/>
      </w:pPr>
      <w:r w:rsidRPr="002A4C9E">
        <w:t xml:space="preserve">Import z pozostałych krajów strefy euro wyniósł </w:t>
      </w:r>
      <w:r w:rsidR="00D75958" w:rsidRPr="00D75958">
        <w:t>49,3</w:t>
      </w:r>
      <w:r w:rsidR="002037C4" w:rsidRPr="002037C4">
        <w:t xml:space="preserve"> </w:t>
      </w:r>
      <w:r w:rsidRPr="002A4C9E">
        <w:t xml:space="preserve">mld EUR i </w:t>
      </w:r>
      <w:r w:rsidR="00EF1A0F">
        <w:t xml:space="preserve">był </w:t>
      </w:r>
      <w:r w:rsidR="00820C79">
        <w:t>wyższy</w:t>
      </w:r>
      <w:r w:rsidR="00EF1A0F">
        <w:t xml:space="preserve"> o </w:t>
      </w:r>
      <w:r w:rsidR="002037C4">
        <w:t>2,</w:t>
      </w:r>
      <w:r w:rsidR="00D75958">
        <w:t>2</w:t>
      </w:r>
      <w:r w:rsidR="00F433D7">
        <w:t>%</w:t>
      </w:r>
      <w:r w:rsidRPr="002A4C9E">
        <w:t>. Zwraca uwagę wynik wypracowany z Włochami (</w:t>
      </w:r>
      <w:r w:rsidR="00D75958">
        <w:t>10,0</w:t>
      </w:r>
      <w:r w:rsidRPr="002A4C9E">
        <w:t xml:space="preserve"> mld EUR, </w:t>
      </w:r>
      <w:r w:rsidR="00D75958">
        <w:t>wzrost</w:t>
      </w:r>
      <w:r w:rsidRPr="002A4C9E">
        <w:t xml:space="preserve"> o </w:t>
      </w:r>
      <w:r w:rsidR="002037C4">
        <w:t>0,4</w:t>
      </w:r>
      <w:r w:rsidRPr="002A4C9E">
        <w:t>%), Holandią (</w:t>
      </w:r>
      <w:r w:rsidR="00D75958">
        <w:t>8,4</w:t>
      </w:r>
      <w:r w:rsidRPr="002A4C9E">
        <w:t xml:space="preserve"> mld EUR</w:t>
      </w:r>
      <w:r w:rsidR="00AF7E18">
        <w:t>,</w:t>
      </w:r>
      <w:r w:rsidRPr="002A4C9E">
        <w:t xml:space="preserve"> </w:t>
      </w:r>
      <w:r w:rsidR="00E2408C">
        <w:t xml:space="preserve">wzrost </w:t>
      </w:r>
      <w:r w:rsidRPr="002A4C9E">
        <w:t xml:space="preserve">o </w:t>
      </w:r>
      <w:r w:rsidR="00D75958">
        <w:t>4,8</w:t>
      </w:r>
      <w:r w:rsidRPr="002A4C9E">
        <w:t>%)</w:t>
      </w:r>
      <w:r w:rsidR="002E4BA3">
        <w:t>,</w:t>
      </w:r>
      <w:r w:rsidRPr="002A4C9E">
        <w:t xml:space="preserve"> Francją (</w:t>
      </w:r>
      <w:r w:rsidR="00D75958">
        <w:t>7,3</w:t>
      </w:r>
      <w:r w:rsidRPr="002A4C9E">
        <w:t xml:space="preserve"> mld EUR</w:t>
      </w:r>
      <w:r w:rsidR="00AF7E18">
        <w:t>,</w:t>
      </w:r>
      <w:r w:rsidRPr="002A4C9E">
        <w:t xml:space="preserve"> </w:t>
      </w:r>
      <w:r w:rsidR="00D75958">
        <w:t>bez zmian w ujęciu rocznym</w:t>
      </w:r>
      <w:r w:rsidRPr="002A4C9E">
        <w:t>)</w:t>
      </w:r>
      <w:r w:rsidR="00D003E1">
        <w:t xml:space="preserve">, </w:t>
      </w:r>
      <w:r w:rsidR="00D75958">
        <w:t xml:space="preserve">Hiszpanią (4,7 mld EUR, wzrost o 1,2%), </w:t>
      </w:r>
      <w:r w:rsidR="002E4BA3">
        <w:t>Belgią</w:t>
      </w:r>
      <w:r w:rsidR="00D003E1">
        <w:t xml:space="preserve"> (</w:t>
      </w:r>
      <w:r w:rsidR="00D75958">
        <w:t>4,5</w:t>
      </w:r>
      <w:r w:rsidR="00D003E1">
        <w:t xml:space="preserve"> mld EUR, </w:t>
      </w:r>
      <w:r w:rsidR="002E4BA3">
        <w:t xml:space="preserve">spadek </w:t>
      </w:r>
      <w:r w:rsidR="00D003E1">
        <w:t xml:space="preserve">o </w:t>
      </w:r>
      <w:r w:rsidR="00D75958">
        <w:t>3,4</w:t>
      </w:r>
      <w:r w:rsidR="00D003E1">
        <w:t>%)</w:t>
      </w:r>
      <w:r w:rsidR="00D75958">
        <w:t>.</w:t>
      </w:r>
    </w:p>
    <w:p w14:paraId="38846B31" w14:textId="1015F83C" w:rsidR="00AF7E18" w:rsidRDefault="00596F5C" w:rsidP="00596F5C">
      <w:pPr>
        <w:spacing w:after="120"/>
        <w:jc w:val="both"/>
      </w:pPr>
      <w:r w:rsidRPr="002A4C9E">
        <w:t xml:space="preserve">Import z krajów UE pozostających poza strefą euro wyniósł </w:t>
      </w:r>
      <w:r w:rsidR="0083681E" w:rsidRPr="0083681E">
        <w:t>22,7</w:t>
      </w:r>
      <w:r w:rsidR="0083681E">
        <w:t xml:space="preserve"> </w:t>
      </w:r>
      <w:r w:rsidRPr="002A4C9E">
        <w:t xml:space="preserve">mld EUR (wzrost o </w:t>
      </w:r>
      <w:r w:rsidR="0083681E">
        <w:t>3,6</w:t>
      </w:r>
      <w:r w:rsidRPr="002A4C9E">
        <w:t xml:space="preserve">%) w tym z Czech </w:t>
      </w:r>
      <w:r w:rsidR="0083681E">
        <w:t>(6,8</w:t>
      </w:r>
      <w:r w:rsidRPr="002A4C9E">
        <w:t xml:space="preserve"> mld EUR</w:t>
      </w:r>
      <w:r w:rsidR="0083681E">
        <w:t xml:space="preserve">, wzrost </w:t>
      </w:r>
      <w:r w:rsidRPr="002A4C9E">
        <w:t xml:space="preserve">o </w:t>
      </w:r>
      <w:r w:rsidR="0083681E">
        <w:t>1,4</w:t>
      </w:r>
      <w:r w:rsidRPr="002A4C9E">
        <w:t>%)</w:t>
      </w:r>
      <w:r w:rsidR="00F1243F">
        <w:t>.</w:t>
      </w:r>
    </w:p>
    <w:p w14:paraId="05DBF936" w14:textId="74E24DED" w:rsidR="00596F5C" w:rsidRPr="002A4C9E" w:rsidRDefault="00596F5C" w:rsidP="00596F5C">
      <w:pPr>
        <w:spacing w:after="120"/>
        <w:jc w:val="both"/>
      </w:pPr>
      <w:r w:rsidRPr="002A4C9E">
        <w:lastRenderedPageBreak/>
        <w:t>Import z krajów wysokorozwiniętych spoza UE (</w:t>
      </w:r>
      <w:r w:rsidR="0026409B" w:rsidRPr="0026409B">
        <w:t>25,1</w:t>
      </w:r>
      <w:r w:rsidR="0026409B">
        <w:t xml:space="preserve"> </w:t>
      </w:r>
      <w:r w:rsidRPr="002A4C9E">
        <w:t>mld EUR</w:t>
      </w:r>
      <w:r w:rsidR="00A263E9">
        <w:t>,</w:t>
      </w:r>
      <w:r w:rsidRPr="002A4C9E">
        <w:t xml:space="preserve"> wzrost o </w:t>
      </w:r>
      <w:r w:rsidR="0026409B">
        <w:t>2</w:t>
      </w:r>
      <w:r w:rsidR="00F1243F">
        <w:t>,8</w:t>
      </w:r>
      <w:r w:rsidRPr="002A4C9E">
        <w:t>%), podobnie jak w przypadku eksportu kreowany był w znacznej części kontaktami z USA (</w:t>
      </w:r>
      <w:r w:rsidR="0026409B" w:rsidRPr="0026409B">
        <w:t>10,5</w:t>
      </w:r>
      <w:r w:rsidR="0026409B">
        <w:t xml:space="preserve"> </w:t>
      </w:r>
      <w:r w:rsidRPr="002A4C9E">
        <w:t>mld EUR</w:t>
      </w:r>
      <w:r w:rsidR="00A263E9">
        <w:t>,</w:t>
      </w:r>
      <w:r w:rsidRPr="002A4C9E">
        <w:t xml:space="preserve"> wzrost o </w:t>
      </w:r>
      <w:r w:rsidR="0026409B">
        <w:t>5,0</w:t>
      </w:r>
      <w:r w:rsidRPr="002A4C9E">
        <w:t>%), ale również Koreą Płd. (</w:t>
      </w:r>
      <w:r w:rsidR="0026409B">
        <w:t>6,0</w:t>
      </w:r>
      <w:r w:rsidRPr="002A4C9E">
        <w:t xml:space="preserve"> mld EUR</w:t>
      </w:r>
      <w:r w:rsidR="00AF7E18">
        <w:t>,</w:t>
      </w:r>
      <w:r w:rsidRPr="002A4C9E">
        <w:t xml:space="preserve"> </w:t>
      </w:r>
      <w:r w:rsidR="00AF7E18">
        <w:t xml:space="preserve">wzrost o </w:t>
      </w:r>
      <w:r w:rsidR="0026409B">
        <w:t>18,8</w:t>
      </w:r>
      <w:r w:rsidR="00AF7E18">
        <w:t>%).</w:t>
      </w:r>
    </w:p>
    <w:p w14:paraId="62F448B5" w14:textId="6025D634" w:rsidR="00596F5C" w:rsidRDefault="00596F5C" w:rsidP="00596F5C">
      <w:pPr>
        <w:spacing w:after="120"/>
        <w:jc w:val="both"/>
        <w:rPr>
          <w:rFonts w:cstheme="minorHAnsi"/>
          <w:color w:val="222222"/>
          <w:shd w:val="clear" w:color="auto" w:fill="FFFFFF"/>
        </w:rPr>
      </w:pPr>
      <w:r w:rsidRPr="002A4C9E">
        <w:rPr>
          <w:rFonts w:cstheme="minorHAnsi"/>
          <w:color w:val="222222"/>
          <w:shd w:val="clear" w:color="auto" w:fill="FFFFFF"/>
        </w:rPr>
        <w:t xml:space="preserve">Z krajów Europy Środkowo-Wschodniej zakupiono towary na kwotę </w:t>
      </w:r>
      <w:r w:rsidR="00BB7161" w:rsidRPr="00BB7161">
        <w:rPr>
          <w:rFonts w:cstheme="minorHAnsi"/>
          <w:color w:val="222222"/>
          <w:shd w:val="clear" w:color="auto" w:fill="FFFFFF"/>
        </w:rPr>
        <w:t>3,8</w:t>
      </w:r>
      <w:r w:rsidR="00BB7161">
        <w:rPr>
          <w:rFonts w:cstheme="minorHAnsi"/>
          <w:color w:val="222222"/>
          <w:shd w:val="clear" w:color="auto" w:fill="FFFFFF"/>
        </w:rPr>
        <w:t xml:space="preserve"> </w:t>
      </w:r>
      <w:r w:rsidRPr="002A4C9E">
        <w:rPr>
          <w:rFonts w:cstheme="minorHAnsi"/>
          <w:color w:val="222222"/>
          <w:shd w:val="clear" w:color="auto" w:fill="FFFFFF"/>
        </w:rPr>
        <w:t xml:space="preserve">mld EUR (spadek o </w:t>
      </w:r>
      <w:r w:rsidR="00BB7161">
        <w:rPr>
          <w:rFonts w:cstheme="minorHAnsi"/>
          <w:color w:val="222222"/>
          <w:shd w:val="clear" w:color="auto" w:fill="FFFFFF"/>
        </w:rPr>
        <w:t>9,5</w:t>
      </w:r>
      <w:r w:rsidRPr="002A4C9E">
        <w:rPr>
          <w:rFonts w:cstheme="minorHAnsi"/>
          <w:color w:val="222222"/>
          <w:shd w:val="clear" w:color="auto" w:fill="FFFFFF"/>
        </w:rPr>
        <w:t xml:space="preserve">%), zaś z krajów rozwijających się </w:t>
      </w:r>
      <w:r w:rsidR="00BB7161" w:rsidRPr="00BB7161">
        <w:rPr>
          <w:rFonts w:cstheme="minorHAnsi"/>
          <w:color w:val="222222"/>
          <w:shd w:val="clear" w:color="auto" w:fill="FFFFFF"/>
        </w:rPr>
        <w:t>70,8</w:t>
      </w:r>
      <w:r w:rsidR="0028589F" w:rsidRPr="0028589F">
        <w:rPr>
          <w:rFonts w:cstheme="minorHAnsi"/>
          <w:color w:val="222222"/>
          <w:shd w:val="clear" w:color="auto" w:fill="FFFFFF"/>
        </w:rPr>
        <w:t xml:space="preserve"> </w:t>
      </w:r>
      <w:r w:rsidRPr="002A4C9E">
        <w:rPr>
          <w:rFonts w:cstheme="minorHAnsi"/>
          <w:color w:val="222222"/>
          <w:shd w:val="clear" w:color="auto" w:fill="FFFFFF"/>
        </w:rPr>
        <w:t xml:space="preserve">mld EUR (wzrost o </w:t>
      </w:r>
      <w:r w:rsidR="00BB7161">
        <w:rPr>
          <w:rFonts w:cstheme="minorHAnsi"/>
          <w:color w:val="222222"/>
          <w:shd w:val="clear" w:color="auto" w:fill="FFFFFF"/>
        </w:rPr>
        <w:t>11,4</w:t>
      </w:r>
      <w:r w:rsidRPr="002A4C9E">
        <w:rPr>
          <w:rFonts w:cstheme="minorHAnsi"/>
          <w:color w:val="222222"/>
          <w:shd w:val="clear" w:color="auto" w:fill="FFFFFF"/>
        </w:rPr>
        <w:t xml:space="preserve">%) </w:t>
      </w:r>
      <w:r w:rsidR="0084448B">
        <w:rPr>
          <w:rFonts w:cstheme="minorHAnsi"/>
          <w:color w:val="222222"/>
          <w:shd w:val="clear" w:color="auto" w:fill="FFFFFF"/>
        </w:rPr>
        <w:t>–</w:t>
      </w:r>
      <w:r w:rsidRPr="002A4C9E">
        <w:rPr>
          <w:rFonts w:cstheme="minorHAnsi"/>
          <w:color w:val="222222"/>
          <w:shd w:val="clear" w:color="auto" w:fill="FFFFFF"/>
        </w:rPr>
        <w:t xml:space="preserve"> tu głównie za sprawą Chin</w:t>
      </w:r>
      <w:r w:rsidR="00AF7E18">
        <w:rPr>
          <w:rFonts w:cstheme="minorHAnsi"/>
          <w:color w:val="222222"/>
          <w:shd w:val="clear" w:color="auto" w:fill="FFFFFF"/>
        </w:rPr>
        <w:t>,</w:t>
      </w:r>
      <w:r w:rsidRPr="002A4C9E">
        <w:rPr>
          <w:rFonts w:cstheme="minorHAnsi"/>
          <w:color w:val="222222"/>
          <w:shd w:val="clear" w:color="auto" w:fill="FFFFFF"/>
        </w:rPr>
        <w:t xml:space="preserve"> naszego drugiego partnera w imporcie (</w:t>
      </w:r>
      <w:r w:rsidR="00BB7161" w:rsidRPr="00BB7161">
        <w:rPr>
          <w:rFonts w:cstheme="minorHAnsi"/>
          <w:color w:val="222222"/>
          <w:shd w:val="clear" w:color="auto" w:fill="FFFFFF"/>
        </w:rPr>
        <w:t>31,7</w:t>
      </w:r>
      <w:r w:rsidR="00BB7161">
        <w:rPr>
          <w:rFonts w:cstheme="minorHAnsi"/>
          <w:color w:val="222222"/>
          <w:shd w:val="clear" w:color="auto" w:fill="FFFFFF"/>
        </w:rPr>
        <w:t xml:space="preserve"> </w:t>
      </w:r>
      <w:r w:rsidRPr="002A4C9E">
        <w:rPr>
          <w:rFonts w:cstheme="minorHAnsi"/>
          <w:color w:val="222222"/>
          <w:shd w:val="clear" w:color="auto" w:fill="FFFFFF"/>
        </w:rPr>
        <w:t>mld EUR</w:t>
      </w:r>
      <w:r w:rsidR="00AF7E18">
        <w:rPr>
          <w:rFonts w:cstheme="minorHAnsi"/>
          <w:color w:val="222222"/>
          <w:shd w:val="clear" w:color="auto" w:fill="FFFFFF"/>
        </w:rPr>
        <w:t>,</w:t>
      </w:r>
      <w:r w:rsidRPr="002A4C9E">
        <w:rPr>
          <w:rFonts w:cstheme="minorHAnsi"/>
          <w:color w:val="222222"/>
          <w:shd w:val="clear" w:color="auto" w:fill="FFFFFF"/>
        </w:rPr>
        <w:t xml:space="preserve"> wzrost o </w:t>
      </w:r>
      <w:r w:rsidR="00BB7161">
        <w:rPr>
          <w:rFonts w:cstheme="minorHAnsi"/>
          <w:color w:val="222222"/>
          <w:shd w:val="clear" w:color="auto" w:fill="FFFFFF"/>
        </w:rPr>
        <w:t>15,9</w:t>
      </w:r>
      <w:r w:rsidRPr="002A4C9E">
        <w:rPr>
          <w:rFonts w:cstheme="minorHAnsi"/>
          <w:color w:val="222222"/>
          <w:shd w:val="clear" w:color="auto" w:fill="FFFFFF"/>
        </w:rPr>
        <w:t xml:space="preserve">%). </w:t>
      </w:r>
    </w:p>
    <w:p w14:paraId="2F748542" w14:textId="77777777" w:rsidR="0028589F" w:rsidRDefault="0028589F" w:rsidP="00596F5C">
      <w:pPr>
        <w:spacing w:after="120"/>
        <w:jc w:val="both"/>
        <w:rPr>
          <w:rFonts w:cstheme="minorHAnsi"/>
          <w:color w:val="222222"/>
          <w:shd w:val="clear" w:color="auto" w:fill="FFFFFF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1134"/>
        <w:gridCol w:w="992"/>
        <w:gridCol w:w="1134"/>
      </w:tblGrid>
      <w:tr w:rsidR="00FA6596" w:rsidRPr="00FA6596" w14:paraId="68EB1402" w14:textId="77777777" w:rsidTr="00FA659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76BF4F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Struktura obrotów według towarów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1E8E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F3F2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I-VII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53E6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7C4EE3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I-VII 2025</w:t>
            </w:r>
          </w:p>
        </w:tc>
      </w:tr>
      <w:tr w:rsidR="00FA6596" w:rsidRPr="00FA6596" w14:paraId="21E1014B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7DC0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3ED3E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mld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7129BB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CC57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mld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048A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%</w:t>
            </w:r>
          </w:p>
        </w:tc>
      </w:tr>
      <w:tr w:rsidR="00FA6596" w:rsidRPr="00FA6596" w14:paraId="2CEAA892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FB67F2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CF969D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D1EDDD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EEF41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4D84C2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</w:t>
            </w:r>
          </w:p>
        </w:tc>
      </w:tr>
      <w:tr w:rsidR="00FA6596" w:rsidRPr="00FA6596" w14:paraId="46CB4D3D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1B551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Żywność i zwierzęta żywe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A5BAD1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FCCE53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841D4B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64A99B" w14:textId="77777777" w:rsidR="00FA6596" w:rsidRPr="00FA6596" w:rsidRDefault="00FA6596" w:rsidP="00FA6596">
            <w:pPr>
              <w:spacing w:after="0" w:line="240" w:lineRule="auto"/>
              <w:ind w:right="6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8,4</w:t>
            </w:r>
          </w:p>
        </w:tc>
      </w:tr>
      <w:tr w:rsidR="00FA6596" w:rsidRPr="00FA6596" w14:paraId="182E4D74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5F0444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Napoje i tytoń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3355C8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6EB286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C390E0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99C52F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</w:t>
            </w:r>
          </w:p>
        </w:tc>
      </w:tr>
      <w:tr w:rsidR="00FA6596" w:rsidRPr="00FA6596" w14:paraId="62F758B0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5E2984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Surowce niejadalne z wyjątkiem paliw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6B86A5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192BAD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AD6D7B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4DD529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2,6</w:t>
            </w:r>
          </w:p>
        </w:tc>
      </w:tr>
      <w:tr w:rsidR="00FA6596" w:rsidRPr="00FA6596" w14:paraId="2ED19316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124D20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Paliwa mineralne, smary i materiały pokrewne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25A1C3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BB8737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F067E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E914D8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6,4</w:t>
            </w:r>
          </w:p>
        </w:tc>
      </w:tr>
      <w:tr w:rsidR="00FA6596" w:rsidRPr="00FA6596" w14:paraId="24FA6ACA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048D0F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Oleje, tłuszcze, woski, zwierzęce i roślinne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438A9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E9EC8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BE545F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B781C7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</w:tr>
      <w:tr w:rsidR="00FA6596" w:rsidRPr="00FA6596" w14:paraId="768C0E02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DF8367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Chemikalia i produkty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C0CCD9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7F9725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63904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56085F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14,0</w:t>
            </w:r>
          </w:p>
        </w:tc>
      </w:tr>
      <w:tr w:rsidR="00FA6596" w:rsidRPr="00FA6596" w14:paraId="60C806F6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025956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Towary przem. sklasyfikowane głównie z uwagi na surowiec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2A26C3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1DDDAF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CE4A0D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FBDFDE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14,8</w:t>
            </w:r>
          </w:p>
        </w:tc>
      </w:tr>
      <w:tr w:rsidR="00FA6596" w:rsidRPr="00FA6596" w14:paraId="0D2536B9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BFF7DC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Maszyny, urządzenia i sprzęt transportowy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4B3BA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BFA355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E9FFFF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EA6E3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35,1</w:t>
            </w:r>
          </w:p>
        </w:tc>
      </w:tr>
      <w:tr w:rsidR="00FA6596" w:rsidRPr="00FA6596" w14:paraId="293E1156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10C08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Różne wyroby przemysłowe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276AEC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3D9550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95CCAA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D99537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15,2</w:t>
            </w:r>
          </w:p>
        </w:tc>
      </w:tr>
      <w:tr w:rsidR="00FA6596" w:rsidRPr="00FA6596" w14:paraId="3E73A35B" w14:textId="77777777" w:rsidTr="00FA659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C61D" w14:textId="77777777" w:rsidR="00FA6596" w:rsidRPr="00FA6596" w:rsidRDefault="00FA6596" w:rsidP="00FA6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Towary i transakcje niesklasyfikowane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3761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4CD9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D4AE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0BBA" w14:textId="77777777" w:rsidR="00FA6596" w:rsidRPr="00FA6596" w:rsidRDefault="00FA6596" w:rsidP="00FA6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5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</w:tr>
    </w:tbl>
    <w:p w14:paraId="65A13E29" w14:textId="77777777" w:rsidR="00596F5C" w:rsidRPr="000E580C" w:rsidRDefault="00596F5C" w:rsidP="00596F5C">
      <w:pPr>
        <w:spacing w:after="120"/>
        <w:jc w:val="both"/>
        <w:rPr>
          <w:rFonts w:cstheme="minorHAnsi"/>
          <w:color w:val="222222"/>
          <w:highlight w:val="yellow"/>
          <w:shd w:val="clear" w:color="auto" w:fill="FFFFFF"/>
        </w:rPr>
      </w:pPr>
    </w:p>
    <w:p w14:paraId="60CE0FFE" w14:textId="3A3BA309" w:rsidR="0049635B" w:rsidRPr="007A6743" w:rsidRDefault="00596F5C" w:rsidP="007A6743">
      <w:pPr>
        <w:spacing w:after="120"/>
        <w:jc w:val="both"/>
        <w:rPr>
          <w:rFonts w:cstheme="minorHAnsi"/>
          <w:color w:val="222222"/>
          <w:shd w:val="clear" w:color="auto" w:fill="FFFFFF"/>
        </w:rPr>
      </w:pPr>
      <w:r w:rsidRPr="002A4C9E">
        <w:rPr>
          <w:rFonts w:cstheme="minorHAnsi"/>
          <w:color w:val="222222"/>
          <w:shd w:val="clear" w:color="auto" w:fill="FFFFFF"/>
        </w:rPr>
        <w:t xml:space="preserve">W </w:t>
      </w:r>
      <w:r w:rsidR="00140950">
        <w:rPr>
          <w:rFonts w:cstheme="minorHAnsi"/>
          <w:color w:val="222222"/>
          <w:shd w:val="clear" w:color="auto" w:fill="FFFFFF"/>
        </w:rPr>
        <w:t>okresie styczeń-</w:t>
      </w:r>
      <w:r w:rsidR="00684D0D">
        <w:rPr>
          <w:rFonts w:cstheme="minorHAnsi"/>
          <w:color w:val="222222"/>
          <w:shd w:val="clear" w:color="auto" w:fill="FFFFFF"/>
        </w:rPr>
        <w:t>lipiec</w:t>
      </w:r>
      <w:r w:rsidR="00C9038D">
        <w:rPr>
          <w:rFonts w:cstheme="minorHAnsi"/>
          <w:color w:val="222222"/>
          <w:shd w:val="clear" w:color="auto" w:fill="FFFFFF"/>
        </w:rPr>
        <w:t xml:space="preserve"> 2025 roku</w:t>
      </w:r>
      <w:r w:rsidRPr="002A4C9E">
        <w:rPr>
          <w:rFonts w:cstheme="minorHAnsi"/>
          <w:color w:val="222222"/>
          <w:shd w:val="clear" w:color="auto" w:fill="FFFFFF"/>
        </w:rPr>
        <w:t xml:space="preserve"> w wymianie towarowej odnotowan</w:t>
      </w:r>
      <w:r w:rsidR="00C9038D">
        <w:rPr>
          <w:rFonts w:cstheme="minorHAnsi"/>
          <w:color w:val="222222"/>
          <w:shd w:val="clear" w:color="auto" w:fill="FFFFFF"/>
        </w:rPr>
        <w:t>y</w:t>
      </w:r>
      <w:r w:rsidRPr="002A4C9E">
        <w:rPr>
          <w:rFonts w:cstheme="minorHAnsi"/>
          <w:color w:val="222222"/>
          <w:shd w:val="clear" w:color="auto" w:fill="FFFFFF"/>
        </w:rPr>
        <w:t xml:space="preserve"> został </w:t>
      </w:r>
      <w:r w:rsidR="00C9038D">
        <w:rPr>
          <w:rFonts w:cstheme="minorHAnsi"/>
          <w:color w:val="222222"/>
          <w:shd w:val="clear" w:color="auto" w:fill="FFFFFF"/>
        </w:rPr>
        <w:t>deficyt sięgający</w:t>
      </w:r>
      <w:r w:rsidRPr="002A4C9E">
        <w:rPr>
          <w:rFonts w:cstheme="minorHAnsi"/>
          <w:color w:val="222222"/>
          <w:shd w:val="clear" w:color="auto" w:fill="FFFFFF"/>
        </w:rPr>
        <w:t xml:space="preserve"> </w:t>
      </w:r>
      <w:r w:rsidR="00684D0D">
        <w:rPr>
          <w:rFonts w:cstheme="minorHAnsi"/>
          <w:color w:val="222222"/>
          <w:shd w:val="clear" w:color="auto" w:fill="FFFFFF"/>
        </w:rPr>
        <w:t>3,4</w:t>
      </w:r>
      <w:r w:rsidRPr="002A4C9E">
        <w:rPr>
          <w:rFonts w:cstheme="minorHAnsi"/>
          <w:color w:val="222222"/>
          <w:shd w:val="clear" w:color="auto" w:fill="FFFFFF"/>
        </w:rPr>
        <w:t xml:space="preserve"> mld EUR. </w:t>
      </w:r>
      <w:r w:rsidR="005405FF">
        <w:rPr>
          <w:rFonts w:cstheme="minorHAnsi"/>
          <w:color w:val="222222"/>
          <w:shd w:val="clear" w:color="auto" w:fill="FFFFFF"/>
        </w:rPr>
        <w:t>W</w:t>
      </w:r>
      <w:r w:rsidRPr="002A4C9E">
        <w:rPr>
          <w:rFonts w:cstheme="minorHAnsi"/>
          <w:color w:val="222222"/>
          <w:shd w:val="clear" w:color="auto" w:fill="FFFFFF"/>
        </w:rPr>
        <w:t xml:space="preserve">yniki z poszczególnymi krajami czy grupami krajów były mocno zróżnicowane. W przypadku Niemiec osiągnęliśmy nadwyżkę na poziomie </w:t>
      </w:r>
      <w:r w:rsidR="00684D0D">
        <w:rPr>
          <w:rFonts w:cstheme="minorHAnsi"/>
          <w:color w:val="222222"/>
          <w:shd w:val="clear" w:color="auto" w:fill="FFFFFF"/>
        </w:rPr>
        <w:t>15,2</w:t>
      </w:r>
      <w:r w:rsidRPr="002A4C9E">
        <w:rPr>
          <w:rFonts w:cstheme="minorHAnsi"/>
          <w:color w:val="222222"/>
          <w:shd w:val="clear" w:color="auto" w:fill="FFFFFF"/>
        </w:rPr>
        <w:t xml:space="preserve"> mld EUR. Z pozostałymi krajami strefy euro wypracowaliśmy nadwyżkę w kwocie </w:t>
      </w:r>
      <w:r w:rsidR="00684D0D">
        <w:rPr>
          <w:rFonts w:cstheme="minorHAnsi"/>
          <w:color w:val="222222"/>
          <w:shd w:val="clear" w:color="auto" w:fill="FFFFFF"/>
        </w:rPr>
        <w:t>17,0</w:t>
      </w:r>
      <w:r w:rsidRPr="002A4C9E">
        <w:rPr>
          <w:rFonts w:cstheme="minorHAnsi"/>
          <w:color w:val="222222"/>
          <w:shd w:val="clear" w:color="auto" w:fill="FFFFFF"/>
        </w:rPr>
        <w:t xml:space="preserve"> mld EUR. Z krajami UE pozostającymi poza strefą euro osiągnięta została nadwyżka w wysokości </w:t>
      </w:r>
      <w:r w:rsidR="00684D0D">
        <w:rPr>
          <w:rFonts w:cstheme="minorHAnsi"/>
          <w:color w:val="222222"/>
          <w:shd w:val="clear" w:color="auto" w:fill="FFFFFF"/>
        </w:rPr>
        <w:t>10,7</w:t>
      </w:r>
      <w:r w:rsidRPr="002A4C9E">
        <w:rPr>
          <w:rFonts w:cstheme="minorHAnsi"/>
          <w:color w:val="222222"/>
          <w:shd w:val="clear" w:color="auto" w:fill="FFFFFF"/>
        </w:rPr>
        <w:t xml:space="preserve"> mld EUR. W przypadku krajów wysokorozwiniętych spoza UE </w:t>
      </w:r>
      <w:r w:rsidR="00C9038D">
        <w:rPr>
          <w:rFonts w:cstheme="minorHAnsi"/>
          <w:color w:val="222222"/>
          <w:shd w:val="clear" w:color="auto" w:fill="FFFFFF"/>
        </w:rPr>
        <w:t>zanotowan</w:t>
      </w:r>
      <w:r w:rsidR="00140950">
        <w:rPr>
          <w:rFonts w:cstheme="minorHAnsi"/>
          <w:color w:val="222222"/>
          <w:shd w:val="clear" w:color="auto" w:fill="FFFFFF"/>
        </w:rPr>
        <w:t>a</w:t>
      </w:r>
      <w:r w:rsidR="00C9038D">
        <w:rPr>
          <w:rFonts w:cstheme="minorHAnsi"/>
          <w:color w:val="222222"/>
          <w:shd w:val="clear" w:color="auto" w:fill="FFFFFF"/>
        </w:rPr>
        <w:t xml:space="preserve"> został </w:t>
      </w:r>
      <w:r w:rsidR="00140950">
        <w:rPr>
          <w:rFonts w:cstheme="minorHAnsi"/>
          <w:color w:val="222222"/>
          <w:shd w:val="clear" w:color="auto" w:fill="FFFFFF"/>
        </w:rPr>
        <w:t xml:space="preserve">nadwyżka </w:t>
      </w:r>
      <w:r w:rsidR="00684D0D">
        <w:rPr>
          <w:rFonts w:cstheme="minorHAnsi"/>
          <w:color w:val="222222"/>
          <w:shd w:val="clear" w:color="auto" w:fill="FFFFFF"/>
        </w:rPr>
        <w:t>1,2</w:t>
      </w:r>
      <w:r w:rsidR="00C9038D">
        <w:rPr>
          <w:rFonts w:cstheme="minorHAnsi"/>
          <w:color w:val="222222"/>
          <w:shd w:val="clear" w:color="auto" w:fill="FFFFFF"/>
        </w:rPr>
        <w:t xml:space="preserve"> mld EUR</w:t>
      </w:r>
      <w:r w:rsidRPr="002A4C9E">
        <w:rPr>
          <w:rFonts w:cstheme="minorHAnsi"/>
          <w:color w:val="222222"/>
          <w:shd w:val="clear" w:color="auto" w:fill="FFFFFF"/>
        </w:rPr>
        <w:t xml:space="preserve">. Z krajami Europy Środkowej i Wschodniej w wymianie mieliśmy nadwyżkę na poziomie </w:t>
      </w:r>
      <w:r w:rsidR="00684D0D">
        <w:rPr>
          <w:rFonts w:cstheme="minorHAnsi"/>
          <w:color w:val="222222"/>
          <w:shd w:val="clear" w:color="auto" w:fill="FFFFFF"/>
        </w:rPr>
        <w:t>5,9</w:t>
      </w:r>
      <w:r w:rsidRPr="002A4C9E">
        <w:rPr>
          <w:rFonts w:cstheme="minorHAnsi"/>
          <w:color w:val="222222"/>
          <w:shd w:val="clear" w:color="auto" w:fill="FFFFFF"/>
        </w:rPr>
        <w:t xml:space="preserve"> mld EUR. Deficyt notujemy w przypadku wymiany z krajami rozwijającymi się –</w:t>
      </w:r>
      <w:r w:rsidR="00BB3579">
        <w:rPr>
          <w:rFonts w:cstheme="minorHAnsi"/>
          <w:color w:val="222222"/>
          <w:shd w:val="clear" w:color="auto" w:fill="FFFFFF"/>
        </w:rPr>
        <w:t xml:space="preserve"> </w:t>
      </w:r>
      <w:r w:rsidR="00684D0D">
        <w:rPr>
          <w:rFonts w:cstheme="minorHAnsi"/>
          <w:color w:val="222222"/>
          <w:shd w:val="clear" w:color="auto" w:fill="FFFFFF"/>
        </w:rPr>
        <w:t>53,5</w:t>
      </w:r>
      <w:r w:rsidRPr="002A4C9E">
        <w:rPr>
          <w:rFonts w:cstheme="minorHAnsi"/>
          <w:color w:val="222222"/>
          <w:shd w:val="clear" w:color="auto" w:fill="FFFFFF"/>
        </w:rPr>
        <w:t xml:space="preserve"> mld EUR (głównie za sprawą deficytu w wymianie z Chinami).   </w:t>
      </w:r>
    </w:p>
    <w:sectPr w:rsidR="0049635B" w:rsidRPr="007A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5C"/>
    <w:rsid w:val="00005458"/>
    <w:rsid w:val="000B0D8B"/>
    <w:rsid w:val="000D02DF"/>
    <w:rsid w:val="00140950"/>
    <w:rsid w:val="001844E5"/>
    <w:rsid w:val="00186C9A"/>
    <w:rsid w:val="001A50BC"/>
    <w:rsid w:val="001E4B93"/>
    <w:rsid w:val="002037C4"/>
    <w:rsid w:val="002160D7"/>
    <w:rsid w:val="00220D04"/>
    <w:rsid w:val="00235C2C"/>
    <w:rsid w:val="0026409B"/>
    <w:rsid w:val="002777D2"/>
    <w:rsid w:val="0028589F"/>
    <w:rsid w:val="002E16A5"/>
    <w:rsid w:val="002E4BA3"/>
    <w:rsid w:val="00310E2A"/>
    <w:rsid w:val="0031460B"/>
    <w:rsid w:val="003619FD"/>
    <w:rsid w:val="003A0A00"/>
    <w:rsid w:val="003C065C"/>
    <w:rsid w:val="003E7145"/>
    <w:rsid w:val="00417B90"/>
    <w:rsid w:val="00421362"/>
    <w:rsid w:val="00446A41"/>
    <w:rsid w:val="0049635B"/>
    <w:rsid w:val="004C4EB5"/>
    <w:rsid w:val="004F781C"/>
    <w:rsid w:val="0052603E"/>
    <w:rsid w:val="00526CD1"/>
    <w:rsid w:val="005405FF"/>
    <w:rsid w:val="00567637"/>
    <w:rsid w:val="00575B33"/>
    <w:rsid w:val="0058464B"/>
    <w:rsid w:val="00596F5C"/>
    <w:rsid w:val="00684D0D"/>
    <w:rsid w:val="007421D3"/>
    <w:rsid w:val="007721BD"/>
    <w:rsid w:val="007A6743"/>
    <w:rsid w:val="00820C79"/>
    <w:rsid w:val="0083681E"/>
    <w:rsid w:val="0084448B"/>
    <w:rsid w:val="008A7913"/>
    <w:rsid w:val="009536F3"/>
    <w:rsid w:val="00991D04"/>
    <w:rsid w:val="00A263E9"/>
    <w:rsid w:val="00A4047D"/>
    <w:rsid w:val="00A52F5B"/>
    <w:rsid w:val="00A84EC6"/>
    <w:rsid w:val="00AD6961"/>
    <w:rsid w:val="00AF7E18"/>
    <w:rsid w:val="00B12C92"/>
    <w:rsid w:val="00B16010"/>
    <w:rsid w:val="00B1665A"/>
    <w:rsid w:val="00B16A05"/>
    <w:rsid w:val="00B32755"/>
    <w:rsid w:val="00B85614"/>
    <w:rsid w:val="00BB3579"/>
    <w:rsid w:val="00BB7161"/>
    <w:rsid w:val="00BE4B94"/>
    <w:rsid w:val="00BF671C"/>
    <w:rsid w:val="00BF7646"/>
    <w:rsid w:val="00C16AB9"/>
    <w:rsid w:val="00C43019"/>
    <w:rsid w:val="00C61F3C"/>
    <w:rsid w:val="00C74EF4"/>
    <w:rsid w:val="00C9038D"/>
    <w:rsid w:val="00CA2A7F"/>
    <w:rsid w:val="00CA45C6"/>
    <w:rsid w:val="00CA4B7A"/>
    <w:rsid w:val="00D003E1"/>
    <w:rsid w:val="00D01EED"/>
    <w:rsid w:val="00D56268"/>
    <w:rsid w:val="00D62711"/>
    <w:rsid w:val="00D71DBF"/>
    <w:rsid w:val="00D71EFE"/>
    <w:rsid w:val="00D75958"/>
    <w:rsid w:val="00D96967"/>
    <w:rsid w:val="00DB1E48"/>
    <w:rsid w:val="00E2408C"/>
    <w:rsid w:val="00E45867"/>
    <w:rsid w:val="00E727E6"/>
    <w:rsid w:val="00E83635"/>
    <w:rsid w:val="00EB57C0"/>
    <w:rsid w:val="00EF1A0F"/>
    <w:rsid w:val="00F033D5"/>
    <w:rsid w:val="00F077EA"/>
    <w:rsid w:val="00F1243F"/>
    <w:rsid w:val="00F433D7"/>
    <w:rsid w:val="00F71ED7"/>
    <w:rsid w:val="00FA6596"/>
    <w:rsid w:val="00FB5FDB"/>
    <w:rsid w:val="00FC342E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F5B5"/>
  <w15:chartTrackingRefBased/>
  <w15:docId w15:val="{4D6BC118-9573-4993-8F42-899F92D0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5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psoroczynski</dc:creator>
  <cp:keywords/>
  <dc:description/>
  <cp:lastModifiedBy>gstanczak@interia.pl</cp:lastModifiedBy>
  <cp:revision>2</cp:revision>
  <dcterms:created xsi:type="dcterms:W3CDTF">2025-09-15T11:10:00Z</dcterms:created>
  <dcterms:modified xsi:type="dcterms:W3CDTF">2025-09-15T11:10:00Z</dcterms:modified>
</cp:coreProperties>
</file>